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jc w:val="both"/>
        <w:textAlignment w:val="auto"/>
        <w:rPr>
          <w:rFonts w:hint="default" w:ascii="Times New Roman" w:hAnsi="Times New Roman" w:eastAsia="方正小标宋简体" w:cs="Times New Roman"/>
          <w:sz w:val="32"/>
        </w:rPr>
      </w:pPr>
      <w:r>
        <w:rPr>
          <w:rFonts w:hint="default" w:ascii="Times New Roman" w:hAnsi="Times New Roman" w:eastAsia="黑体" w:cs="Times New Roman"/>
          <w:sz w:val="32"/>
        </w:rPr>
        <w:t>附件</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202</w:t>
      </w:r>
      <w:r>
        <w:rPr>
          <w:rFonts w:hint="eastAsia" w:ascii="Times New Roman" w:hAnsi="Times New Roman" w:eastAsia="方正小标宋简体" w:cs="Times New Roman"/>
          <w:sz w:val="44"/>
          <w:szCs w:val="44"/>
          <w:lang w:val="en-US" w:eastAsia="zh-CN"/>
        </w:rPr>
        <w:t>3</w:t>
      </w:r>
      <w:r>
        <w:rPr>
          <w:rFonts w:ascii="Times New Roman" w:hAnsi="Times New Roman" w:eastAsia="方正小标宋简体" w:cs="Times New Roman"/>
          <w:sz w:val="44"/>
          <w:szCs w:val="44"/>
        </w:rPr>
        <w:t>年金华市区新认定省级研发机构</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奖励资金安排表</w:t>
      </w:r>
    </w:p>
    <w:p>
      <w:pPr>
        <w:keepNext w:val="0"/>
        <w:keepLines w:val="0"/>
        <w:pageBreakBefore w:val="0"/>
        <w:widowControl w:val="0"/>
        <w:kinsoku/>
        <w:wordWrap/>
        <w:overflowPunct/>
        <w:topLinePunct w:val="0"/>
        <w:autoSpaceDE/>
        <w:autoSpaceDN/>
        <w:bidi w:val="0"/>
        <w:adjustRightInd w:val="0"/>
        <w:snapToGrid w:val="0"/>
        <w:spacing w:line="560" w:lineRule="exact"/>
        <w:ind w:left="0"/>
        <w:jc w:val="center"/>
        <w:textAlignment w:val="auto"/>
        <w:rPr>
          <w:rFonts w:ascii="Times New Roman" w:hAnsi="Times New Roman" w:eastAsia="仿宋_GB2312" w:cs="Times New Roman"/>
          <w:snapToGrid w:val="0"/>
          <w:kern w:val="0"/>
          <w:sz w:val="32"/>
          <w:szCs w:val="32"/>
          <w:lang w:val="en-US" w:eastAsia="zh-CN" w:bidi="ar-SA"/>
        </w:rPr>
      </w:pPr>
    </w:p>
    <w:tbl>
      <w:tblPr>
        <w:tblStyle w:val="6"/>
        <w:tblW w:w="1050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46"/>
        <w:gridCol w:w="2648"/>
        <w:gridCol w:w="1875"/>
        <w:gridCol w:w="1267"/>
        <w:gridCol w:w="1395"/>
        <w:gridCol w:w="925"/>
        <w:gridCol w:w="876"/>
        <w:gridCol w:w="87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tblHeader/>
          <w:jc w:val="center"/>
        </w:trPr>
        <w:tc>
          <w:tcPr>
            <w:tcW w:w="646" w:type="dxa"/>
            <w:vMerge w:val="restart"/>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序号</w:t>
            </w:r>
          </w:p>
        </w:tc>
        <w:tc>
          <w:tcPr>
            <w:tcW w:w="2648" w:type="dxa"/>
            <w:vMerge w:val="restart"/>
            <w:tcBorders>
              <w:tl2br w:val="nil"/>
              <w:tr2bl w:val="nil"/>
            </w:tcBorders>
            <w:noWrap w:val="0"/>
            <w:tcMar>
              <w:top w:w="0" w:type="dxa"/>
              <w:left w:w="0" w:type="dxa"/>
              <w:bottom w:w="0" w:type="dxa"/>
              <w:right w:w="0" w:type="dxa"/>
            </w:tcMar>
            <w:vAlign w:val="center"/>
          </w:tcPr>
          <w:p>
            <w:pPr>
              <w:widowControl/>
              <w:spacing w:line="340" w:lineRule="exact"/>
              <w:ind w:left="21" w:leftChars="10"/>
              <w:jc w:val="center"/>
              <w:rPr>
                <w:rFonts w:hint="eastAsia" w:ascii="黑体" w:hAnsi="黑体" w:eastAsia="黑体" w:cs="黑体"/>
                <w:color w:val="000000"/>
                <w:sz w:val="21"/>
                <w:szCs w:val="21"/>
              </w:rPr>
            </w:pPr>
            <w:r>
              <w:rPr>
                <w:rFonts w:hint="eastAsia" w:ascii="黑体" w:hAnsi="黑体" w:eastAsia="黑体" w:cs="黑体"/>
                <w:color w:val="000000"/>
                <w:sz w:val="21"/>
                <w:szCs w:val="21"/>
              </w:rPr>
              <w:t>省级研发机构名称</w:t>
            </w:r>
          </w:p>
        </w:tc>
        <w:tc>
          <w:tcPr>
            <w:tcW w:w="1875" w:type="dxa"/>
            <w:vMerge w:val="restart"/>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依托单位</w:t>
            </w:r>
          </w:p>
        </w:tc>
        <w:tc>
          <w:tcPr>
            <w:tcW w:w="1267" w:type="dxa"/>
            <w:vMerge w:val="restart"/>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区域</w:t>
            </w:r>
          </w:p>
        </w:tc>
        <w:tc>
          <w:tcPr>
            <w:tcW w:w="1395" w:type="dxa"/>
            <w:vMerge w:val="restart"/>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类别</w:t>
            </w:r>
          </w:p>
        </w:tc>
        <w:tc>
          <w:tcPr>
            <w:tcW w:w="925" w:type="dxa"/>
            <w:vMerge w:val="restart"/>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亩均效益评价</w:t>
            </w:r>
          </w:p>
        </w:tc>
        <w:tc>
          <w:tcPr>
            <w:tcW w:w="1752" w:type="dxa"/>
            <w:gridSpan w:val="2"/>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实奖金额（万元）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tblHeader/>
          <w:jc w:val="center"/>
        </w:trPr>
        <w:tc>
          <w:tcPr>
            <w:tcW w:w="646" w:type="dxa"/>
            <w:vMerge w:val="continue"/>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p>
        </w:tc>
        <w:tc>
          <w:tcPr>
            <w:tcW w:w="2648" w:type="dxa"/>
            <w:vMerge w:val="continue"/>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p>
        </w:tc>
        <w:tc>
          <w:tcPr>
            <w:tcW w:w="1875" w:type="dxa"/>
            <w:vMerge w:val="continue"/>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p>
        </w:tc>
        <w:tc>
          <w:tcPr>
            <w:tcW w:w="1267" w:type="dxa"/>
            <w:vMerge w:val="continue"/>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p>
        </w:tc>
        <w:tc>
          <w:tcPr>
            <w:tcW w:w="1395" w:type="dxa"/>
            <w:vMerge w:val="continue"/>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p>
        </w:tc>
        <w:tc>
          <w:tcPr>
            <w:tcW w:w="925" w:type="dxa"/>
            <w:vMerge w:val="continue"/>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p>
        </w:tc>
        <w:tc>
          <w:tcPr>
            <w:tcW w:w="876" w:type="dxa"/>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市财政</w:t>
            </w:r>
          </w:p>
        </w:tc>
        <w:tc>
          <w:tcPr>
            <w:tcW w:w="876" w:type="dxa"/>
            <w:tcBorders>
              <w:tl2br w:val="nil"/>
              <w:tr2bl w:val="nil"/>
            </w:tcBorders>
            <w:noWrap w:val="0"/>
            <w:tcMar>
              <w:top w:w="0" w:type="dxa"/>
              <w:left w:w="0" w:type="dxa"/>
              <w:bottom w:w="0" w:type="dxa"/>
              <w:right w:w="0" w:type="dxa"/>
            </w:tcMar>
            <w:vAlign w:val="center"/>
          </w:tcPr>
          <w:p>
            <w:pPr>
              <w:widowControl/>
              <w:spacing w:line="340" w:lineRule="exact"/>
              <w:jc w:val="center"/>
              <w:rPr>
                <w:rFonts w:hint="eastAsia" w:ascii="黑体" w:hAnsi="黑体" w:eastAsia="黑体" w:cs="黑体"/>
                <w:color w:val="000000"/>
                <w:sz w:val="21"/>
                <w:szCs w:val="21"/>
              </w:rPr>
            </w:pPr>
            <w:r>
              <w:rPr>
                <w:rFonts w:hint="eastAsia" w:ascii="黑体" w:hAnsi="黑体" w:eastAsia="黑体" w:cs="黑体"/>
                <w:color w:val="000000"/>
                <w:sz w:val="21"/>
                <w:szCs w:val="21"/>
              </w:rPr>
              <w:t>区财政</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浙江省蓝海光电激光测距技术企业研究院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金华市蓝海光电技术有限公司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浙江省东晶电子元器件企业研究院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东晶电子金华有限公司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28.5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28.5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3</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浙江省创捷电子频率元件企业研究院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金华市创捷电子有限公司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28.5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28.5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4</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浙江省花园营养维生素类食品药品绿色制备企业研究院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浙江花园营养科技有限公司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5</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浙江省万里扬自动变速器及新能源驱动总成企业研究院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浙江万里扬新能源驱动有限公司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6</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浙江省月旭科技色谱分离分析技术企业研究院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浙江月旭材料科技有限公司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7</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浙江省银河生物益生乳酸菌企业研究院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金华银河生物科技有限公司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8</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浙江省氢途科技氢能与燃料电池高新技术企业研究开发中心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金华氢途科技有限公司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9</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浙江省远大印刷高新技术企业研究开发中心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浙江远大印刷有限公司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10</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浙江省星筑智能门高新技术企业研究开发中心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浙江星筑科技有限公司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11</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浙江省力拓钢柜高新技术企业研究开发中心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金华力拓钢柜有限公司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12</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浙江省高荣安全环保彩妆高新技术企业研究开发中心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浙江高荣化妆品有限公司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13</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浙江省弘奇高强瓦楞纸箱高新技术企业研究开发中心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金华市弘奇纸制品有限公司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14</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浙江省广电融媒体高新技术企业研究开发中心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金华广电网络技术有限公司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15</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spacing w:val="-6"/>
                <w:kern w:val="0"/>
                <w:sz w:val="21"/>
                <w:szCs w:val="21"/>
                <w:u w:val="none"/>
                <w:lang w:val="en-US" w:eastAsia="zh-CN" w:bidi="ar"/>
              </w:rPr>
              <w:t>浙江省莱逸园固废无害化处理高新技术企业研究开发中心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金华市莱逸园环保科技开发有限公司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婺城区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16</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浙江省金一电动工具高新技术企业研究开发中心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浙江金一电动工具有限公司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17</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浙江省莎蕾高分子纤维材料高新技术企业研究开发中心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浙江莎蕾服饰有限公司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18</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浙江省国泰高性能砂轮高新技术企业研究开发中心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浙江国泰砂轮研磨有限公司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19</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浙江省迪弗莱气柱包装材料高新技术企业研究开发中心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浙江迪弗莱包装科技股份有限公司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20</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浙江省拓朴高性能清洁用具高新技术企业研究开发中心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浙江拓朴清洁科技有限公司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21</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浙江省联宾高性能包装材料高新技术企业研究开发中心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金华市联宾塑料制品有限公司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22</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浙江省浩南智能家居高新技术企业研究开发中心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浙江浩南工贸有限公司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23</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浙江省航大北斗应用高新技术企业研究开发中心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金华航大北斗应用技术有限公司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24</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浙江省威科制冷工具高新技术企业研究开发中心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金华市威科工贸有限公司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25</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浙江省凯富博科超精密特种作业机械臂高新技术企业研究开发中心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浙江凯富博科科技有限公司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26</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浙江省力积存储高新技术企业研究开发中心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浙江力积存储科技有限公司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27</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浙江省双星高性能五金工具高新技术企业研究开发中心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金华市双星工具有限公司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金东区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28</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浙江省创新医疗口腔材料高新技术企业研究开发中心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金华市创新医疗器械科技有限公司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29</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浙江省思丹姆细胞生物学研究与临床应用高新技术企业研究开发中心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浙江思丹姆干细胞生物科技有限公司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30</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浙江省豪迪绿色染整高新技术企业研究开发中心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金华市豪迪染整有限公司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C</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12</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31</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浙江省海日环保饰面板高新技术企业研究开发中心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金华市海日家居用品有限公司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32</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浙江省青鸟计算机智能软件高新技术企业研究开发中心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金华青鸟计算机信息技术有限公司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33</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浙江省伊凯智能电动代步车高新技术企业研究开发中心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伊凯科技（浙江）有限公司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34</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浙江省金大康兽药高新技术企业研究开发中心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浙江金大康动物保健品有限公司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35</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浙江省丰硕高性能化妆刷高新技术企业研究开发中心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金华市丰硕化妆用品有限公司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36</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浙江省合发环保碳罐高新技术企业研究开发中心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金华市合发科技有限公司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C</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12</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37</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浙江省乐太保温容器高新技术企业研究开发中心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浙江乐太电器有限公司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38</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浙江省美保龙生物疫苗高新技术企业研究开发中心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浙江美保龙生物技术有限公司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39</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spacing w:val="-6"/>
                <w:kern w:val="0"/>
                <w:sz w:val="21"/>
                <w:szCs w:val="21"/>
                <w:u w:val="none"/>
                <w:lang w:val="en-US" w:eastAsia="zh-CN" w:bidi="ar"/>
              </w:rPr>
              <w:t>浙江省福川高性能真空保温杯高新技术企业研究开发中心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浙江福川家居用品有限公司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40</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浙江省华港运动器材高新技术企业研究开发中心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金华华港运动器材有限公司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B</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14.25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41</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浙江省高格智能软件开发高新技术企业研究开发中心</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金华高格软件有限公司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bottom"/>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sz w:val="21"/>
                <w:szCs w:val="21"/>
              </w:rPr>
              <w:t>金华开发区</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rPr>
              <w:t>省级研发中心</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i w:val="0"/>
                <w:iCs w:val="0"/>
                <w:color w:val="000000"/>
                <w:kern w:val="0"/>
                <w:sz w:val="21"/>
                <w:szCs w:val="21"/>
                <w:u w:val="none"/>
                <w:lang w:val="en-US" w:eastAsia="zh-CN" w:bidi="ar"/>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646" w:type="dxa"/>
            <w:tcBorders>
              <w:tl2br w:val="nil"/>
              <w:tr2bl w:val="nil"/>
            </w:tcBorders>
            <w:noWrap w:val="0"/>
            <w:tcMar>
              <w:top w:w="0" w:type="dxa"/>
              <w:left w:w="17" w:type="dxa"/>
              <w:bottom w:w="0" w:type="dxa"/>
              <w:right w:w="17" w:type="dxa"/>
            </w:tcMar>
            <w:vAlign w:val="center"/>
          </w:tcPr>
          <w:p>
            <w:pPr>
              <w:keepNext w:val="0"/>
              <w:keepLines w:val="0"/>
              <w:pageBreakBefore w:val="0"/>
              <w:widowControl/>
              <w:kinsoku/>
              <w:wordWrap/>
              <w:overflowPunct/>
              <w:topLinePunct w:val="0"/>
              <w:autoSpaceDE/>
              <w:autoSpaceDN/>
              <w:bidi w:val="0"/>
              <w:adjustRightInd/>
              <w:snapToGrid/>
              <w:spacing w:line="0" w:lineRule="atLeas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42</w:t>
            </w:r>
          </w:p>
        </w:tc>
        <w:tc>
          <w:tcPr>
            <w:tcW w:w="2648"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default" w:ascii="Times New Roman" w:hAnsi="Times New Roman" w:eastAsia="仿宋_GB2312" w:cs="Times New Roman"/>
                <w:i w:val="0"/>
                <w:iCs w:val="0"/>
                <w:color w:val="000000"/>
                <w:kern w:val="0"/>
                <w:sz w:val="21"/>
                <w:szCs w:val="21"/>
                <w:u w:val="none"/>
                <w:lang w:val="en-US" w:eastAsia="zh-CN" w:bidi="ar"/>
              </w:rPr>
              <w:t>浙江省亚虎家装工具企业研究院</w:t>
            </w:r>
          </w:p>
        </w:tc>
        <w:tc>
          <w:tcPr>
            <w:tcW w:w="187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default" w:ascii="Times New Roman" w:hAnsi="Times New Roman" w:eastAsia="仿宋_GB2312" w:cs="Times New Roman"/>
                <w:i w:val="0"/>
                <w:iCs w:val="0"/>
                <w:color w:val="000000"/>
                <w:kern w:val="0"/>
                <w:sz w:val="21"/>
                <w:szCs w:val="21"/>
                <w:u w:val="none"/>
                <w:lang w:val="en-US" w:eastAsia="zh-CN" w:bidi="ar"/>
              </w:rPr>
              <w:t>金华市亚虎工具有限公司</w:t>
            </w:r>
          </w:p>
        </w:tc>
        <w:tc>
          <w:tcPr>
            <w:tcW w:w="1267"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双龙管委会</w:t>
            </w:r>
          </w:p>
        </w:tc>
        <w:tc>
          <w:tcPr>
            <w:tcW w:w="139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default" w:ascii="Times New Roman" w:hAnsi="Times New Roman" w:eastAsia="仿宋_GB2312" w:cs="Times New Roman"/>
                <w:i w:val="0"/>
                <w:iCs w:val="0"/>
                <w:color w:val="000000"/>
                <w:kern w:val="0"/>
                <w:sz w:val="21"/>
                <w:szCs w:val="21"/>
                <w:u w:val="none"/>
                <w:lang w:val="en-US" w:eastAsia="zh-CN" w:bidi="ar"/>
              </w:rPr>
              <w:t>省企业研究院</w:t>
            </w:r>
          </w:p>
        </w:tc>
        <w:tc>
          <w:tcPr>
            <w:tcW w:w="925" w:type="dxa"/>
            <w:tcBorders>
              <w:tl2br w:val="nil"/>
              <w:tr2bl w:val="nil"/>
            </w:tcBorders>
            <w:noWrap w:val="0"/>
            <w:tcMar>
              <w:top w:w="0" w:type="dxa"/>
              <w:left w:w="17" w:type="dxa"/>
              <w:bottom w:w="0" w:type="dxa"/>
              <w:right w:w="17"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default" w:ascii="Times New Roman" w:hAnsi="Times New Roman" w:eastAsia="仿宋_GB2312" w:cs="Times New Roman"/>
                <w:i w:val="0"/>
                <w:iCs w:val="0"/>
                <w:color w:val="000000"/>
                <w:kern w:val="0"/>
                <w:sz w:val="21"/>
                <w:szCs w:val="21"/>
                <w:u w:val="none"/>
                <w:lang w:val="en-US" w:eastAsia="zh-CN" w:bidi="ar"/>
              </w:rPr>
              <w:t>A</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w:t>
            </w:r>
          </w:p>
        </w:tc>
        <w:tc>
          <w:tcPr>
            <w:tcW w:w="876" w:type="dxa"/>
            <w:tcBorders>
              <w:tl2br w:val="nil"/>
              <w:tr2bl w:val="nil"/>
            </w:tcBorders>
            <w:noWrap w:val="0"/>
            <w:tcMar>
              <w:top w:w="0" w:type="dxa"/>
              <w:left w:w="17" w:type="dxa"/>
              <w:bottom w:w="0" w:type="dxa"/>
              <w:right w:w="17"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60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8756" w:type="dxa"/>
            <w:gridSpan w:val="6"/>
            <w:tcBorders>
              <w:tl2br w:val="nil"/>
              <w:tr2bl w:val="nil"/>
            </w:tcBorders>
            <w:noWrap w:val="0"/>
            <w:tcMar>
              <w:top w:w="0" w:type="dxa"/>
              <w:left w:w="17" w:type="dxa"/>
              <w:bottom w:w="0" w:type="dxa"/>
              <w:right w:w="17" w:type="dxa"/>
            </w:tcMar>
            <w:vAlign w:val="center"/>
          </w:tcPr>
          <w:p>
            <w:pPr>
              <w:widowControl/>
              <w:spacing w:line="320" w:lineRule="exact"/>
              <w:jc w:val="center"/>
              <w:rPr>
                <w:rFonts w:hint="default" w:ascii="Times New Roman" w:hAnsi="Times New Roman" w:eastAsia="仿宋_GB2312" w:cs="Times New Roman"/>
                <w:b/>
                <w:bCs/>
                <w:color w:val="000000"/>
                <w:sz w:val="21"/>
                <w:szCs w:val="21"/>
              </w:rPr>
            </w:pPr>
            <w:r>
              <w:rPr>
                <w:rFonts w:hint="default" w:ascii="Times New Roman" w:hAnsi="Times New Roman" w:eastAsia="仿宋_GB2312" w:cs="Times New Roman"/>
                <w:b/>
                <w:bCs/>
                <w:color w:val="000000"/>
                <w:sz w:val="21"/>
                <w:szCs w:val="21"/>
              </w:rPr>
              <w:t>小计</w:t>
            </w:r>
          </w:p>
        </w:tc>
        <w:tc>
          <w:tcPr>
            <w:tcW w:w="876" w:type="dxa"/>
            <w:tcBorders>
              <w:tl2br w:val="nil"/>
              <w:tr2bl w:val="nil"/>
            </w:tcBorders>
            <w:noWrap w:val="0"/>
            <w:tcMar>
              <w:top w:w="0" w:type="dxa"/>
              <w:left w:w="17" w:type="dxa"/>
              <w:bottom w:w="0" w:type="dxa"/>
              <w:right w:w="17" w:type="dxa"/>
            </w:tcMar>
            <w:vAlign w:val="center"/>
          </w:tcPr>
          <w:p>
            <w:pPr>
              <w:widowControl/>
              <w:spacing w:line="240" w:lineRule="auto"/>
              <w:jc w:val="center"/>
              <w:textAlignment w:val="center"/>
              <w:rPr>
                <w:rFonts w:hint="default" w:ascii="Times New Roman" w:hAnsi="Times New Roman" w:eastAsia="仿宋_GB2312" w:cs="Times New Roman"/>
                <w:b/>
                <w:bCs/>
                <w:color w:val="000000"/>
                <w:sz w:val="21"/>
                <w:szCs w:val="21"/>
                <w:lang w:val="en-US" w:eastAsia="zh-CN"/>
              </w:rPr>
            </w:pPr>
            <w:r>
              <w:rPr>
                <w:rFonts w:hint="eastAsia" w:ascii="Times New Roman" w:hAnsi="Times New Roman" w:eastAsia="宋体" w:cs="Times New Roman"/>
                <w:b/>
                <w:bCs/>
                <w:i w:val="0"/>
                <w:iCs w:val="0"/>
                <w:color w:val="000000"/>
                <w:kern w:val="0"/>
                <w:sz w:val="22"/>
                <w:szCs w:val="22"/>
                <w:u w:val="none"/>
                <w:lang w:val="en-US" w:eastAsia="zh-CN" w:bidi="ar"/>
              </w:rPr>
              <w:t>695.25</w:t>
            </w:r>
          </w:p>
        </w:tc>
        <w:tc>
          <w:tcPr>
            <w:tcW w:w="876" w:type="dxa"/>
            <w:tcBorders>
              <w:tl2br w:val="nil"/>
              <w:tr2bl w:val="nil"/>
            </w:tcBorders>
            <w:noWrap w:val="0"/>
            <w:tcMar>
              <w:top w:w="0" w:type="dxa"/>
              <w:left w:w="17" w:type="dxa"/>
              <w:bottom w:w="0" w:type="dxa"/>
              <w:right w:w="17" w:type="dxa"/>
            </w:tcMar>
            <w:vAlign w:val="center"/>
          </w:tcPr>
          <w:p>
            <w:pPr>
              <w:widowControl/>
              <w:spacing w:line="240" w:lineRule="auto"/>
              <w:jc w:val="center"/>
              <w:textAlignment w:val="center"/>
              <w:rPr>
                <w:rFonts w:hint="default" w:ascii="Times New Roman" w:hAnsi="Times New Roman" w:eastAsia="仿宋_GB2312" w:cs="Times New Roman"/>
                <w:b/>
                <w:bCs/>
                <w:color w:val="000000"/>
                <w:sz w:val="21"/>
                <w:szCs w:val="21"/>
                <w:lang w:val="en-US" w:eastAsia="zh-CN"/>
              </w:rPr>
            </w:pPr>
            <w:r>
              <w:rPr>
                <w:rFonts w:hint="eastAsia" w:ascii="Times New Roman" w:hAnsi="Times New Roman" w:eastAsia="宋体" w:cs="Times New Roman"/>
                <w:b/>
                <w:bCs/>
                <w:i w:val="0"/>
                <w:iCs w:val="0"/>
                <w:color w:val="000000"/>
                <w:kern w:val="0"/>
                <w:sz w:val="22"/>
                <w:szCs w:val="22"/>
                <w:u w:val="none"/>
                <w:lang w:val="en-US" w:eastAsia="zh-CN" w:bidi="ar"/>
              </w:rPr>
              <w:t>755.25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atLeast"/>
          <w:jc w:val="center"/>
        </w:trPr>
        <w:tc>
          <w:tcPr>
            <w:tcW w:w="8756" w:type="dxa"/>
            <w:gridSpan w:val="6"/>
            <w:tcBorders>
              <w:tl2br w:val="nil"/>
              <w:tr2bl w:val="nil"/>
            </w:tcBorders>
            <w:noWrap w:val="0"/>
            <w:tcMar>
              <w:top w:w="0" w:type="dxa"/>
              <w:left w:w="17" w:type="dxa"/>
              <w:bottom w:w="0" w:type="dxa"/>
              <w:right w:w="17" w:type="dxa"/>
            </w:tcMar>
            <w:vAlign w:val="center"/>
          </w:tcPr>
          <w:p>
            <w:pPr>
              <w:widowControl/>
              <w:spacing w:line="320" w:lineRule="exact"/>
              <w:jc w:val="center"/>
              <w:rPr>
                <w:rFonts w:hint="default" w:ascii="Times New Roman" w:hAnsi="Times New Roman" w:eastAsia="仿宋_GB2312" w:cs="Times New Roman"/>
                <w:b/>
                <w:bCs/>
                <w:color w:val="000000"/>
                <w:sz w:val="21"/>
                <w:szCs w:val="21"/>
              </w:rPr>
            </w:pPr>
            <w:r>
              <w:rPr>
                <w:rFonts w:hint="default" w:ascii="Times New Roman" w:hAnsi="Times New Roman" w:eastAsia="仿宋_GB2312" w:cs="Times New Roman"/>
                <w:b/>
                <w:bCs/>
                <w:color w:val="000000"/>
                <w:sz w:val="21"/>
                <w:szCs w:val="21"/>
              </w:rPr>
              <w:t>合计</w:t>
            </w:r>
          </w:p>
        </w:tc>
        <w:tc>
          <w:tcPr>
            <w:tcW w:w="1752" w:type="dxa"/>
            <w:gridSpan w:val="2"/>
            <w:tcBorders>
              <w:tl2br w:val="nil"/>
              <w:tr2bl w:val="nil"/>
            </w:tcBorders>
            <w:noWrap w:val="0"/>
            <w:tcMar>
              <w:top w:w="0" w:type="dxa"/>
              <w:left w:w="17" w:type="dxa"/>
              <w:bottom w:w="0" w:type="dxa"/>
              <w:right w:w="17" w:type="dxa"/>
            </w:tcMar>
            <w:vAlign w:val="center"/>
          </w:tcPr>
          <w:p>
            <w:pPr>
              <w:widowControl/>
              <w:spacing w:line="320" w:lineRule="exact"/>
              <w:jc w:val="center"/>
              <w:rPr>
                <w:rFonts w:hint="default" w:ascii="Times New Roman" w:hAnsi="Times New Roman" w:eastAsia="仿宋_GB2312" w:cs="Times New Roman"/>
                <w:b/>
                <w:bCs/>
                <w:color w:val="000000"/>
                <w:sz w:val="21"/>
                <w:szCs w:val="21"/>
                <w:lang w:val="en-US" w:eastAsia="zh-CN"/>
              </w:rPr>
            </w:pPr>
            <w:r>
              <w:rPr>
                <w:rFonts w:hint="eastAsia" w:ascii="Times New Roman" w:hAnsi="Times New Roman" w:eastAsia="仿宋_GB2312" w:cs="Times New Roman"/>
                <w:b/>
                <w:bCs/>
                <w:color w:val="000000"/>
                <w:sz w:val="21"/>
                <w:szCs w:val="21"/>
                <w:lang w:val="en-US" w:eastAsia="zh-CN"/>
              </w:rPr>
              <w:t>1450.5</w:t>
            </w:r>
          </w:p>
        </w:tc>
      </w:tr>
    </w:tbl>
    <w:p>
      <w:bookmarkStart w:id="0" w:name="_GoBack"/>
      <w:bookmarkEnd w:id="0"/>
    </w:p>
    <w:sectPr>
      <w:headerReference r:id="rId3" w:type="default"/>
      <w:footerReference r:id="rId4" w:type="default"/>
      <w:pgSz w:w="11906" w:h="16838"/>
      <w:pgMar w:top="2098" w:right="1474" w:bottom="1984" w:left="1587" w:header="851" w:footer="1361" w:gutter="0"/>
      <w:pgBorders>
        <w:top w:val="none" w:sz="0" w:space="0"/>
        <w:left w:val="none" w:sz="0" w:space="0"/>
        <w:bottom w:val="none" w:sz="0" w:space="0"/>
        <w:right w:val="none" w:sz="0" w:space="0"/>
      </w:pgBorders>
      <w:cols w:space="720" w:num="1"/>
      <w:rtlGutter w:val="0"/>
      <w:docGrid w:type="lines" w:linePitch="44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ExNzY5Y2Q1YjQwYjNkYTAzMmYzNzhkNjBkZmI0MzkifQ=="/>
  </w:docVars>
  <w:rsids>
    <w:rsidRoot w:val="00007493"/>
    <w:rsid w:val="00007493"/>
    <w:rsid w:val="0020572D"/>
    <w:rsid w:val="0044521D"/>
    <w:rsid w:val="004E39BA"/>
    <w:rsid w:val="00937811"/>
    <w:rsid w:val="00DB3ED8"/>
    <w:rsid w:val="02CB12E4"/>
    <w:rsid w:val="21BD487F"/>
    <w:rsid w:val="24D869B7"/>
    <w:rsid w:val="294902C0"/>
    <w:rsid w:val="30C545AE"/>
    <w:rsid w:val="3D7A74F2"/>
    <w:rsid w:val="42692A90"/>
    <w:rsid w:val="44B75440"/>
    <w:rsid w:val="44FB7D67"/>
    <w:rsid w:val="472F5918"/>
    <w:rsid w:val="4EAC1971"/>
    <w:rsid w:val="556A3864"/>
    <w:rsid w:val="5EFE6CFC"/>
    <w:rsid w:val="5FEF7F09"/>
    <w:rsid w:val="61BA6C9E"/>
    <w:rsid w:val="682B5CF8"/>
    <w:rsid w:val="6BEBBFA6"/>
    <w:rsid w:val="6CC70EF1"/>
    <w:rsid w:val="73E91693"/>
    <w:rsid w:val="767F40D2"/>
    <w:rsid w:val="7BB90568"/>
    <w:rsid w:val="7C5E3BB1"/>
    <w:rsid w:val="7C7F90DA"/>
    <w:rsid w:val="7E75A044"/>
    <w:rsid w:val="7F9A5F3D"/>
    <w:rsid w:val="7FB31E53"/>
    <w:rsid w:val="7FDC9F19"/>
    <w:rsid w:val="8BFFA55D"/>
    <w:rsid w:val="A7F7C4C6"/>
    <w:rsid w:val="A9FDE108"/>
    <w:rsid w:val="BBF578F1"/>
    <w:rsid w:val="BF34179E"/>
    <w:rsid w:val="DAEE0CCF"/>
    <w:rsid w:val="EDFF6164"/>
    <w:rsid w:val="EFBFF901"/>
    <w:rsid w:val="EFFFA55A"/>
    <w:rsid w:val="F6B7FED7"/>
    <w:rsid w:val="FDDF83B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0"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index 6"/>
    <w:basedOn w:val="1"/>
    <w:next w:val="1"/>
    <w:qFormat/>
    <w:uiPriority w:val="0"/>
    <w:pPr>
      <w:spacing w:line="560" w:lineRule="exact"/>
      <w:ind w:left="2100"/>
    </w:pPr>
    <w:rPr>
      <w:rFonts w:ascii="Times New Roman" w:hAnsi="Times New Roman" w:eastAsia="仿宋_GB2312"/>
      <w:snapToGrid w:val="0"/>
      <w:kern w:val="0"/>
      <w:sz w:val="32"/>
      <w:szCs w:val="32"/>
    </w:rPr>
  </w:style>
  <w:style w:type="paragraph" w:styleId="3">
    <w:name w:val="Body Text"/>
    <w:basedOn w:val="1"/>
    <w:link w:val="8"/>
    <w:unhideWhenUsed/>
    <w:qFormat/>
    <w:uiPriority w:val="99"/>
    <w:pPr>
      <w:spacing w:after="120"/>
    </w:pPr>
  </w:style>
  <w:style w:type="paragraph" w:styleId="4">
    <w:name w:val="footer"/>
    <w:basedOn w:val="1"/>
    <w:link w:val="9"/>
    <w:qFormat/>
    <w:uiPriority w:val="0"/>
    <w:pPr>
      <w:tabs>
        <w:tab w:val="center" w:pos="4153"/>
        <w:tab w:val="right" w:pos="8306"/>
      </w:tabs>
      <w:snapToGrid w:val="0"/>
      <w:spacing w:line="560" w:lineRule="exact"/>
      <w:jc w:val="left"/>
    </w:pPr>
    <w:rPr>
      <w:rFonts w:ascii="Times New Roman" w:hAnsi="Times New Roman" w:eastAsia="仿宋_GB2312"/>
      <w:snapToGrid w:val="0"/>
      <w:kern w:val="0"/>
      <w:sz w:val="18"/>
      <w:szCs w:val="18"/>
    </w:rPr>
  </w:style>
  <w:style w:type="paragraph" w:styleId="5">
    <w:name w:val="Body Text First Indent"/>
    <w:basedOn w:val="3"/>
    <w:next w:val="1"/>
    <w:link w:val="10"/>
    <w:unhideWhenUsed/>
    <w:qFormat/>
    <w:uiPriority w:val="99"/>
    <w:pPr>
      <w:spacing w:after="140" w:line="276" w:lineRule="auto"/>
      <w:ind w:firstLine="420" w:firstLineChars="100"/>
    </w:pPr>
    <w:rPr>
      <w:rFonts w:ascii="Times New Roman" w:hAnsi="Times New Roman" w:eastAsia="仿宋_GB2312"/>
      <w:snapToGrid w:val="0"/>
      <w:kern w:val="0"/>
      <w:sz w:val="32"/>
      <w:szCs w:val="32"/>
    </w:rPr>
  </w:style>
  <w:style w:type="character" w:customStyle="1" w:styleId="8">
    <w:name w:val="正文文本 字符"/>
    <w:link w:val="3"/>
    <w:semiHidden/>
    <w:qFormat/>
    <w:uiPriority w:val="99"/>
    <w:rPr>
      <w:kern w:val="2"/>
      <w:sz w:val="21"/>
      <w:szCs w:val="22"/>
    </w:rPr>
  </w:style>
  <w:style w:type="character" w:customStyle="1" w:styleId="9">
    <w:name w:val="页脚 字符"/>
    <w:link w:val="4"/>
    <w:qFormat/>
    <w:uiPriority w:val="0"/>
    <w:rPr>
      <w:rFonts w:ascii="Times New Roman" w:hAnsi="Times New Roman" w:eastAsia="仿宋_GB2312"/>
      <w:snapToGrid/>
      <w:sz w:val="18"/>
      <w:szCs w:val="18"/>
    </w:rPr>
  </w:style>
  <w:style w:type="character" w:customStyle="1" w:styleId="10">
    <w:name w:val="正文文本首行缩进 字符"/>
    <w:link w:val="5"/>
    <w:qFormat/>
    <w:uiPriority w:val="99"/>
    <w:rPr>
      <w:rFonts w:ascii="Times New Roman" w:hAnsi="Times New Roman" w:eastAsia="仿宋_GB2312"/>
      <w:snapToGrid/>
      <w:kern w:val="2"/>
      <w:sz w:val="32"/>
      <w:szCs w:val="32"/>
    </w:rPr>
  </w:style>
  <w:style w:type="paragraph" w:customStyle="1" w:styleId="11">
    <w:name w:val="_Style 10"/>
    <w:unhideWhenUsed/>
    <w:qFormat/>
    <w:uiPriority w:val="99"/>
    <w:rPr>
      <w:rFonts w:ascii="Times New Roman" w:hAnsi="Times New Roman" w:eastAsia="宋体" w:cs="Times New Roman"/>
      <w:kern w:val="2"/>
      <w:sz w:val="21"/>
      <w:szCs w:val="22"/>
      <w:lang w:val="en-US" w:eastAsia="zh-CN" w:bidi="ar-SA"/>
    </w:rPr>
  </w:style>
  <w:style w:type="paragraph" w:styleId="12">
    <w:name w:val="List Paragraph"/>
    <w:basedOn w:val="1"/>
    <w:qFormat/>
    <w:uiPriority w:val="99"/>
    <w:pPr>
      <w:spacing w:line="560" w:lineRule="exact"/>
      <w:ind w:firstLine="420" w:firstLineChars="200"/>
    </w:pPr>
    <w:rPr>
      <w:rFonts w:ascii="Times New Roman" w:hAnsi="Times New Roman" w:eastAsia="仿宋_GB2312"/>
      <w:snapToGrid w:val="0"/>
      <w:kern w:val="0"/>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2594</Words>
  <Characters>2914</Characters>
  <Lines>24</Lines>
  <Paragraphs>6</Paragraphs>
  <TotalTime>23</TotalTime>
  <ScaleCrop>false</ScaleCrop>
  <LinksUpToDate>false</LinksUpToDate>
  <CharactersWithSpaces>2948</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2020-09-28T03:46:00Z</dcterms:created>
  <dc:creator>lxj</dc:creator>
  <cp:lastModifiedBy>QYL</cp:lastModifiedBy>
  <cp:lastPrinted>2024-04-26T07:20:00Z</cp:lastPrinted>
  <dcterms:modified xsi:type="dcterms:W3CDTF">2024-05-08T17:06:58Z</dcterms:modified>
  <dc:title> </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541CB9CA7F5F7CEE84EF186629E7C582</vt:lpwstr>
  </property>
</Properties>
</file>