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C0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</w:rPr>
        <w:t>浙江省加快培育独角兽企业</w:t>
      </w: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  <w:lang w:eastAsia="zh-CN"/>
        </w:rPr>
        <w:t>行动</w:t>
      </w: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</w:rPr>
        <w:t>方案</w:t>
      </w:r>
    </w:p>
    <w:p w14:paraId="1E403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  <w:lang w:val="en-US" w:eastAsia="zh-CN"/>
        </w:rPr>
        <w:t>2024—2027年</w:t>
      </w: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  <w:lang w:eastAsia="zh-CN"/>
        </w:rPr>
        <w:t>）</w:t>
      </w:r>
    </w:p>
    <w:p w14:paraId="698F0218">
      <w:pPr>
        <w:widowControl w:val="0"/>
        <w:spacing w:after="120" w:afterLines="0" w:afterAutospacing="0"/>
        <w:jc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（征求意见稿）</w:t>
      </w:r>
    </w:p>
    <w:p w14:paraId="395A4F49">
      <w:pPr>
        <w:spacing w:line="580" w:lineRule="exact"/>
        <w:ind w:firstLine="0" w:firstLineChars="0"/>
        <w:jc w:val="center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 w14:paraId="74F7345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独角兽企业是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拥有“独门绝技”“硬核科技”的创新型企业，具备高技术、高成长、高价值、新赛道等突出特征，是加速科技创新和产业创新融合发展、培育发展新质生产力的重要群体。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加快培育壮大一批独角兽企业，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塑造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未来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发展新动能新优势，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打造独角兽企业强省。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特制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行动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方案。</w:t>
      </w:r>
    </w:p>
    <w:p w14:paraId="03FE6F9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19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一、总体要求</w:t>
      </w:r>
    </w:p>
    <w:p w14:paraId="77BED21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以习近平新时代中国特色社会主义思想为指导，全面贯彻落实党的二十大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和二十届三中全会精神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构建支持全面创新体制机制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，强化企业科技创新主体地位，加速科技创新和产业创新融合发展，坚持创新引领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、市场驱动、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精准施策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、生态赋能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健全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孵化、成长、跃升的全生命周期培育体系，厚植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独角兽企业发展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生态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，开辟新领域新赛道，塑造新动能新优势，为加快培育新质生产力，构建现代化产业体系提供有力支撑。</w:t>
      </w:r>
    </w:p>
    <w:p w14:paraId="4975085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到2027年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累计培育独角兽企业超8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基本形成全周期赋能、全方位服务、全要素保障的独角兽企业成长机制，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实现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独角兽企业量质齐升；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独角兽企业孕育和发展生态不断完善，建设具有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国际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影响力的独角兽企业集聚区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5个以上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，成为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国独角兽企业集聚高地。</w:t>
      </w:r>
    </w:p>
    <w:p w14:paraId="2E95F23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19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二、重点任务</w:t>
      </w:r>
    </w:p>
    <w:p w14:paraId="51644C38">
      <w:pPr>
        <w:keepNext/>
        <w:keepLines/>
        <w:spacing w:line="560" w:lineRule="exact"/>
        <w:ind w:firstLine="640" w:firstLineChars="200"/>
        <w:outlineLvl w:val="1"/>
        <w:rPr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（一）实施独角兽企业发现行动，构建体系化识别挖掘机制</w:t>
      </w:r>
    </w:p>
    <w:p w14:paraId="6BB46F3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1.面向新兴产业和未来产业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围绕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“415X”先进制造业集群培育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和“315”科技创新体系建设，聚焦高技术、高成长、高价值等突出特征，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加强在人工智能、前沿新材料、新型储能、生物制造、商业航天、低空经济等新兴产业领域，以及人形机器人、脑机接口、元宇宙、原子级制造、深海空天开发等未来产业领域的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独角兽企业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识别与发掘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（责任单位：省经信厅、省科技厅、省发展改革委，各市、县〔市、区〕）</w:t>
      </w:r>
    </w:p>
    <w:p w14:paraId="7405485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拓展多元化发现渠道。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紧密跟踪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国家及省科技计划、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高校院所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科创平台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科技计划等实施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进展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主动承接转化项目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成果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。密切关注头部企业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内部裂变和投资并购等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战略布局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，引导项目创客化发展。积极衔接各级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双创载体、各类双创赛事、各大头部基金，广泛开展优质项目筛选甄别。紧盯北上广深等头部地区优质企业发展动态，重点关注已取得原创性、跨越性突破的成长型优质项目。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（责任单位：省经信厅、省科技厅、省商务厅、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省委金融办〔省地方金融局〕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，各市、县〔市、区〕）</w:t>
      </w:r>
    </w:p>
    <w:p w14:paraId="1203662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3.建立遴选标准体系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基于独角兽企业特征，围绕企业竞争赛道、成立年限、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私募融资与估值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成长性等核心指标，结合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创新能力、人才团队、产品创新性与引领力、盈利模式等关键指标，构建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企业遴选发现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标准体系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立全省独角兽企业梯度培育库，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常态化跟踪分析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生产经营、融资估值等信息数据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每年遴选发现一批独角兽企业和潜在独角兽企业，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动态管理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机制，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加强未来发展趋势研判。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（责任单位：省经信厅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、省科技厅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，各市、县〔市、区〕）</w:t>
      </w:r>
    </w:p>
    <w:p w14:paraId="1630853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4.构建市场化挖掘机制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高新区、科创大走廊等产业创新平台载体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与头部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科技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具有较强专业能力的技术经纪人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的合作，联合开展独角兽企业识别与挖掘工作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充分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运用人工智能和数据分析等新技术、新工具发现独角兽企业。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支持投资机构、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咨询机构、行业协会、产业联盟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第三方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社会组织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深度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参与独角兽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企业识别与挖掘，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对成效明显的，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鼓励地方给予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资金支持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责任单位：省经信厅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、省科技厅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，各市、县〔市、区〕）</w:t>
      </w:r>
    </w:p>
    <w:p w14:paraId="4AF7B49F">
      <w:pPr>
        <w:keepNext/>
        <w:keepLines/>
        <w:spacing w:line="560" w:lineRule="exact"/>
        <w:ind w:firstLine="640" w:firstLineChars="200"/>
        <w:outlineLvl w:val="1"/>
        <w:rPr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（二）实施独角兽企业孵化行动，打造高效畅通的多元孵化体系</w:t>
      </w:r>
    </w:p>
    <w:p w14:paraId="28EF676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5.推动技术成果转化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落地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前瞻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布局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原创性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、颠覆性重大技术攻关，支持建设未来技术研究院、概念验证中心和中试平台，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加强重大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技术攻关成果价值评估，推动成果转化与产业化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催生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“硬核科技”企业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推广职务科技成果限时转化机制、科技成果“先试用后转化”机制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加强科技企业孵化器、大学科技园等双创载体建设，引导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科技人员带技术、带成果、带项目创办科技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（责任单位：省科技厅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、省经信厅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、省教育厅）</w:t>
      </w:r>
    </w:p>
    <w:p w14:paraId="7BDBE37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推动头部企业衍生裂变。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引导头部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面向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产业链协同突破和未来产业领域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进行战略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布局，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技术创业、业务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拆分与重组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、模式创新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健全内部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创业创新激励机制，裂变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创业企业。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鼓励头部企业发挥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资源整合管理能力，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产业链延伸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和协同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兼并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跨界投资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投资孵化一批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创业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。支持头部企业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“一站式”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孵化基地，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促进头部企业的创新资源与创业企业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的创新需求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有效对接、创业企业的创新成果与头部企业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应用场景匹配对接。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（责任单位：省经信厅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、省科技厅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，各市、县〔市、区〕）</w:t>
      </w:r>
    </w:p>
    <w:p w14:paraId="08EB4DC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7.推动头部基金投资孵化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遵循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独角兽企业发展规律，迭代升级“硬科技+风险投资”的培育路径。发挥政府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基金和国有资本作用，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形成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“合作基金+专项基金+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基金”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独角兽企业培育投资体系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，联合社会资本共同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投早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投小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投科技。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支持省属企业参股独角兽企业项目，对符合条件的可量化投入，可视同考核利润。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大力发展创投基金，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支持企业风险投资、校企合作基金等进入创业投资领域，建立健全创投基金的考评和容错免责机制，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培育壮大耐心资本。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省委金融办〔省地方金融局〕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、省财政厅、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浙江金融监管局、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省经信厅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、省科技厅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、省国资委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，各市、县〔市、区〕）</w:t>
      </w:r>
    </w:p>
    <w:p w14:paraId="621AE20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8.推动重点区域精准引培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各地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企业引培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专项政策，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创新独角兽企业引培模式，强化主动发现、分析研判和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精准招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。鼓励有基础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有条件的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创新生态和营商环境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，先行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规划建设一批独角兽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集聚区，面向全球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招引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独角兽企业、潜在独角兽企业及其生态链企业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。引导高新技术企业、专精特新中小企业向独角兽企业对标发展，增强发展后劲和核心竞争力。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省经信厅，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各市、县〔市、区〕）</w:t>
      </w:r>
    </w:p>
    <w:p w14:paraId="1333D933">
      <w:pPr>
        <w:keepNext/>
        <w:keepLines/>
        <w:spacing w:line="560" w:lineRule="exact"/>
        <w:ind w:firstLine="480" w:firstLineChars="150"/>
        <w:outlineLvl w:val="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（三）实施独角兽企业成长行动，推动生产要素精准化创新性配置</w:t>
      </w:r>
    </w:p>
    <w:p w14:paraId="02CD97D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加强场景应用赋能。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谋划和部署推进全省场景创新应用，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开展场景清单设计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，以场景加速独角兽企业新技术、新产品转化应用。支持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独角兽企业参与政府投资的应用场景计划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新兴基础设施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等重大项目，鼓励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头部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企业、省属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面向独角兽企业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开放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应用场景。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深化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数据要素市场化配置改革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支持独角兽企业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建设应用场景所需的通用人工智能训练数据集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大模型预训练语料库等。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支持独角兽企业的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首台（套）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装备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、首批次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、首版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权软件等新技术、新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推广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鼓励政府部门、省属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先试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（责任单位：省经信厅、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省财政厅、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省发展改革委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省数据局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、省国资委）</w:t>
      </w:r>
    </w:p>
    <w:p w14:paraId="5584971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.加强高端人才赋能。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高精尖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人才需求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靶向服务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依托各类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各级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重大人才计划，支持独角兽企业引进海外高端人才和顶尖专家团队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。探索开展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外籍人才来华便利、高端人才个税优惠、职称自主评聘等政策创新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独角兽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企业引进的急需人才纳入省级高层次人才“编制池”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开展校企、院企科研人员“双聘”等流动机制试点，鼓励独角兽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与高校院所联合举办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科教融合学院、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现代产业学院、卓越工程师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实践基地等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，推动高校院所科研人员走进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独角兽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省委组织部、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省人力社保厅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省教育厅、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省经信厅、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省科技厅）</w:t>
      </w:r>
    </w:p>
    <w:p w14:paraId="195FE6F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.加强金融资本赋能。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搭建银企对接平台，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深入挖掘独角兽企业和项目融资需求，综合采用银团贷款、联合授信等模式，提供专业化金融服务。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鼓励金融机构针对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开发专项融资产品，推进“贷款+外部直投”模式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鼓励有条件的地方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探索发展私募股权二级市场基金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建立独角兽企业上市服务机制，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举办专场融资对接会，实现供需精准匹配。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省委金融办〔省地方金融局〕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省财政厅、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人行浙江省分行、浙江金融监管局、省科技厅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、省经信厅，各市、县〔市、区〕）</w:t>
      </w:r>
    </w:p>
    <w:p w14:paraId="7960B9C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.加强多元服务赋能。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推动各地加强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调研与服务，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对企业反映问题和建议台账化、清单化管理，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建立“政企直通车”“一企一策”等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定制化、精准化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服务机制，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加强闭环管理。支持各地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组建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库，及时跟踪掌握企业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亟需的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技术、资金、市场等需求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提供技术场景对接、上下游供应链对接、市场拓展与国际化、融资对接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数据跨境便利化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等多元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支持高校院所、科创平台向独角兽企业提供大学科学仪器共享、智能算力保障、研发场所租用等公共科技服务。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省经信厅、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省科技厅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省教育厅、省发展改革委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、省数据局，各市、县〔市、区〕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）</w:t>
      </w:r>
    </w:p>
    <w:p w14:paraId="68C7E39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（四）实施独角兽企业跃升行动，驱动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高估值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加速转化为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高价值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eastAsia="zh-CN"/>
        </w:rPr>
        <w:t>”</w:t>
      </w:r>
    </w:p>
    <w:p w14:paraId="20D9B1D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13.支持开展重大技术攻关。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独角兽企业提升自主创新能力，牵头或参与承担国家及省科技计划项目。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新能源汽车、集成电路、高端新材料、生物医药、低空经济等重点领域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牵头组建创新联合体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、重点产业技术联盟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，参与新型实验室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技术创新中心体系、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创新基础设施体系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建设，加强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企业主导的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产学研深度融合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，合力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突破一批关键核心技术。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鼓励独角兽企业主导或参与制定国际标准、国家标准、行业标准，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掌握行业话语权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（责任单位：省科技厅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、省经信厅、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省市场监管局）</w:t>
      </w:r>
    </w:p>
    <w:p w14:paraId="12FEA41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.带动产业链融通发展。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各地依托独角兽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构建产业链融通发展机制，支持企业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通过产业纽带、聚集孵化、上下游配套、分工协作、开放应用场景等方式，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带动上下游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中小企业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进入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产业链供应链体系，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帮助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中小企业优化生产经营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、提升产品质量。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深化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开展“十链百场万企”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系列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对接活动，促进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独角兽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与其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生态链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在技术创新、产品配套、市场开拓、供应链合作等方面加强协作。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（责任单位：省经信厅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、省商务厅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，各市、县〔市、区〕）</w:t>
      </w:r>
    </w:p>
    <w:p w14:paraId="5DD896D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.强化品牌战略提升。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参照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世界一流企业标准，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围绕提升生存力、竞争力、发展力、持续力，加强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品牌理念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传播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、品牌形象塑造，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形成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独特的价值主张。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支持独角兽企业聚焦工艺提升、产品创新、服务升级等方向，加快丰富和升级产品体系，积极参与认定浙江制造精品，提升产品美誉度和品牌知名度。推动独角兽企业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建立健全现代化企业管理制度，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塑造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具有全球影响力、高度认可和信任的世界级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企业品牌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形象。</w:t>
      </w:r>
      <w:bookmarkStart w:id="0" w:name="_GoBack"/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（责任单位：省市场监管局、省经信厅，各市、县〔市、区〕）</w:t>
      </w:r>
    </w:p>
    <w:bookmarkEnd w:id="0"/>
    <w:p w14:paraId="37A8C5E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.推动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国际化发展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独角兽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加速全球化战略布局，提升跨国经营管理能力，支持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开展跨国投资并购和技术收购活动，设立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境外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区域总部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研发中心等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。鼓励独角兽企业积极拓展全球市场，提升产业链区域协作能力，增强产业链供应链韧性和安全水平。鼓励独角兽企业开展境外知识产权布局，加快融入国际知识产权创造与运用体系。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（责任单位：省商务厅、省经信厅、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省科技厅、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省市场监管局）</w:t>
      </w:r>
    </w:p>
    <w:p w14:paraId="1805D0B7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三、保障措施</w:t>
      </w:r>
    </w:p>
    <w:p w14:paraId="109CFAA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（一）加强统筹协调</w:t>
      </w:r>
      <w:r>
        <w:rPr>
          <w:rFonts w:hint="default" w:ascii="Times New Roman" w:hAnsi="Times New Roman" w:eastAsia="宋体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立省级独角兽企业培育工作联席会议机制，由省经信厅牵头，会同省级有关部门加强工作协同，定期研究分析独角兽企业发展情况，及时掌握和协调解决独角兽企业发展出现的苗头性、倾向性、潜在性问题，做好预研预判和政策储备。加强省市县三级联动，支持各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制定细化行动方案，提出独角兽企业阶段性培育目标，构建完善梯度培育机制。</w:t>
      </w:r>
      <w:r>
        <w:rPr>
          <w:rFonts w:hint="default" w:ascii="Times New Roman" w:hAnsi="Times New Roman" w:eastAsia="楷体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（责任单位：省经信厅、</w:t>
      </w:r>
      <w:r>
        <w:rPr>
          <w:rFonts w:hint="default" w:ascii="Times New Roman" w:hAnsi="Times New Roman" w:eastAsia="楷体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  <w:t>省级有</w:t>
      </w:r>
      <w:r>
        <w:rPr>
          <w:rFonts w:hint="default" w:ascii="Times New Roman" w:hAnsi="Times New Roman" w:eastAsia="楷体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关部门</w:t>
      </w:r>
      <w:r>
        <w:rPr>
          <w:rFonts w:hint="default" w:ascii="Times New Roman" w:hAnsi="Times New Roman" w:eastAsia="楷体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各市、县〔市、区〕</w:t>
      </w:r>
      <w:r>
        <w:rPr>
          <w:rFonts w:hint="default" w:ascii="Times New Roman" w:hAnsi="Times New Roman" w:eastAsia="楷体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6009506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（二）加强政策支持</w:t>
      </w:r>
      <w:r>
        <w:rPr>
          <w:rFonts w:hint="default" w:ascii="Times New Roman" w:hAnsi="Times New Roman" w:eastAsia="宋体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鼓励各地因地制宜制定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加强政策工具协调配合，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项目、资金、土地、平台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场景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资源要素供给与倾斜支持力度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支持有条件的地方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探索设立独角兽企业培育发展专项资金，对独角兽企业前沿科技攻关采取风险补偿和贷款贴息方式予以支持。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探索实施“包容审慎”监管试点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以法制化和负面清单管理为基础，在市场准入、公共数据开放等领域适时调整优化政策措施，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推动适用改革举措在独角兽企业先行先试。</w:t>
      </w:r>
      <w:r>
        <w:rPr>
          <w:rFonts w:hint="default" w:ascii="Times New Roman" w:hAnsi="Times New Roman" w:eastAsia="楷体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  <w:t>（责任单位：省经信厅、省级有关部门，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各市、县〔市、区〕</w:t>
      </w:r>
      <w:r>
        <w:rPr>
          <w:rFonts w:hint="default" w:ascii="Times New Roman" w:hAnsi="Times New Roman" w:eastAsia="楷体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7B9B032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（三）加强宣传推介</w:t>
      </w:r>
      <w:r>
        <w:rPr>
          <w:rFonts w:hint="default" w:ascii="Times New Roman" w:hAnsi="Times New Roman" w:eastAsia="宋体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每年发布浙江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独角兽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榜单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和发展报告。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支持有条件的地方举办高水平独角兽企业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发布会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生态大会、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论坛峰会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和路演活动，打造具有一流影响力的独角兽企业生态品牌。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支持各地及时总结典型独角兽企业成长案例，提炼可复制、可推广的经验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加强宣传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推介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，提高全社会关注度，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营造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独角兽企业发展良好氛围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（责任单位：省经信厅、省委宣传部</w:t>
      </w:r>
      <w:r>
        <w:rPr>
          <w:rFonts w:hint="default" w:ascii="Times New Roman" w:hAnsi="Times New Roman" w:eastAsia="楷体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各市、县〔市、区〕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）</w:t>
      </w:r>
    </w:p>
    <w:p w14:paraId="68CCCA1D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0B88A1B-522B-486D-9281-D6CD205551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8C03652-B825-4F3D-B25E-73C69C9DAC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6821030-58E8-4466-B4EE-68474340A32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918964E-6245-4DE9-A6DE-DEBB36F19A4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2A121DA-D0DF-490F-A1BE-2F9A34CC62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F7C4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FB82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FB82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YzBiZWI5MzFjZmVjODBlYWEzYTU0MGE2MjA4NDIifQ=="/>
  </w:docVars>
  <w:rsids>
    <w:rsidRoot w:val="33DF6EA8"/>
    <w:rsid w:val="33DF6EA8"/>
    <w:rsid w:val="3B98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4709</Words>
  <Characters>4755</Characters>
  <Lines>0</Lines>
  <Paragraphs>0</Paragraphs>
  <TotalTime>1</TotalTime>
  <ScaleCrop>false</ScaleCrop>
  <LinksUpToDate>false</LinksUpToDate>
  <CharactersWithSpaces>4755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2024-07-29T07:16:00Z</dcterms:created>
  <dc:creator>毛毛扎</dc:creator>
  <cp:lastModifiedBy>毛毛扎</cp:lastModifiedBy>
  <dcterms:modified xsi:type="dcterms:W3CDTF">2024-07-29T09:41:07Z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2D1AEE5AC1024D8F8954BF9C0C753438_11</vt:lpwstr>
  </property>
</Properties>
</file>