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0" w:beforeLines="0" w:after="0" w:afterLines="0" w:line="240" w:lineRule="auto"/>
        <w:ind w:firstLine="0" w:firstLineChars="0"/>
        <w:jc w:val="both"/>
        <w:rPr>
          <w:rFonts w:hint="default" w:ascii="Times New Roman" w:hAnsi="Times New Roman" w:cs="Times New Roman"/>
          <w:sz w:val="36"/>
          <w:szCs w:val="16"/>
          <w:highlight w:val="none"/>
        </w:rPr>
      </w:pPr>
      <w:r>
        <w:rPr>
          <w:rFonts w:hint="default" w:ascii="Times New Roman" w:hAnsi="Times New Roman" w:eastAsia="黑体" w:cs="Times New Roman"/>
          <w:sz w:val="32"/>
          <w:szCs w:val="32"/>
          <w:highlight w:val="none"/>
          <w:lang w:val="en-US" w:eastAsia="zh-CN"/>
        </w:rPr>
        <w:t>附件2</w:t>
      </w:r>
    </w:p>
    <w:p>
      <w:pPr>
        <w:widowControl w:val="0"/>
        <w:adjustRightInd w:val="0"/>
        <w:snapToGrid w:val="0"/>
        <w:spacing w:before="0" w:beforeLines="0" w:beforeAutospacing="0" w:after="0" w:afterLines="0" w:afterAutospacing="0" w:line="700" w:lineRule="exact"/>
        <w:jc w:val="center"/>
        <w:rPr>
          <w:rFonts w:hint="default" w:ascii="Times New Roman" w:hAnsi="Times New Roman" w:eastAsia="方正小标宋简体" w:cs="Times New Roman"/>
          <w:b w:val="0"/>
          <w:bCs w:val="0"/>
          <w:kern w:val="44"/>
          <w:sz w:val="40"/>
          <w:szCs w:val="18"/>
          <w:highlight w:val="none"/>
          <w:lang w:val="en-US" w:eastAsia="zh-CN" w:bidi="ar"/>
        </w:rPr>
      </w:pPr>
    </w:p>
    <w:p>
      <w:pPr>
        <w:widowControl w:val="0"/>
        <w:adjustRightInd w:val="0"/>
        <w:snapToGrid w:val="0"/>
        <w:spacing w:before="0" w:beforeLines="0" w:beforeAutospacing="0" w:after="0" w:afterLines="0" w:afterAutospacing="0" w:line="700" w:lineRule="exact"/>
        <w:ind w:firstLine="0" w:firstLineChars="0"/>
        <w:jc w:val="center"/>
        <w:rPr>
          <w:rFonts w:hint="default" w:ascii="Times New Roman" w:hAnsi="Times New Roman" w:eastAsia="方正小标宋简体" w:cs="Times New Roman"/>
          <w:b w:val="0"/>
          <w:bCs w:val="0"/>
          <w:kern w:val="44"/>
          <w:sz w:val="40"/>
          <w:szCs w:val="18"/>
          <w:highlight w:val="none"/>
          <w:lang w:val="en-US" w:eastAsia="zh-CN" w:bidi="ar"/>
        </w:rPr>
      </w:pPr>
      <w:r>
        <w:rPr>
          <w:rFonts w:hint="default" w:ascii="Times New Roman" w:hAnsi="Times New Roman" w:eastAsia="方正小标宋简体" w:cs="Times New Roman"/>
          <w:b w:val="0"/>
          <w:bCs w:val="0"/>
          <w:kern w:val="44"/>
          <w:sz w:val="40"/>
          <w:szCs w:val="18"/>
          <w:highlight w:val="none"/>
          <w:lang w:val="en-US" w:eastAsia="zh-CN" w:bidi="ar"/>
        </w:rPr>
        <w:t>2024年度享受增值税加计抵减政策先进制造业企业名单（总公司）</w:t>
      </w:r>
    </w:p>
    <w:p>
      <w:pPr>
        <w:keepNext w:val="0"/>
        <w:keepLines w:val="0"/>
        <w:pageBreakBefore w:val="0"/>
        <w:widowControl w:val="0"/>
        <w:numPr>
          <w:ilvl w:val="0"/>
          <w:numId w:val="0"/>
        </w:numPr>
        <w:kinsoku/>
        <w:wordWrap/>
        <w:overflowPunct/>
        <w:topLinePunct w:val="0"/>
        <w:autoSpaceDE/>
        <w:autoSpaceDN/>
        <w:bidi w:val="0"/>
        <w:adjustRightInd/>
        <w:snapToGrid/>
        <w:spacing w:before="315" w:beforeLines="100" w:after="0" w:afterLines="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w:t>
      </w:r>
      <w:r>
        <w:rPr>
          <w:rFonts w:hint="default" w:ascii="Times New Roman" w:hAnsi="Times New Roman" w:eastAsia="黑体" w:cs="Times New Roman"/>
          <w:sz w:val="28"/>
          <w:szCs w:val="28"/>
          <w:highlight w:val="none"/>
        </w:rPr>
        <w:t>（公章）</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r>
        <w:rPr>
          <w:rFonts w:hint="default" w:ascii="Times New Roman" w:hAnsi="Times New Roman" w:eastAsia="黑体" w:cs="Times New Roman"/>
          <w:sz w:val="28"/>
          <w:szCs w:val="28"/>
          <w:u w:val="none"/>
          <w:lang w:val="en-US" w:eastAsia="zh-CN"/>
        </w:rPr>
        <w:t xml:space="preserve"> </w:t>
      </w:r>
    </w:p>
    <w:tbl>
      <w:tblPr>
        <w:tblStyle w:val="3"/>
        <w:tblW w:w="13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93"/>
        <w:gridCol w:w="1489"/>
        <w:gridCol w:w="2856"/>
        <w:gridCol w:w="2534"/>
        <w:gridCol w:w="198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10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地市</w:t>
            </w:r>
          </w:p>
        </w:tc>
        <w:tc>
          <w:tcPr>
            <w:tcW w:w="1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县（市、区）</w:t>
            </w:r>
          </w:p>
        </w:tc>
        <w:tc>
          <w:tcPr>
            <w:tcW w:w="28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企业名称</w:t>
            </w:r>
          </w:p>
        </w:tc>
        <w:tc>
          <w:tcPr>
            <w:tcW w:w="2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统一社会信用代码</w:t>
            </w: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高企</w:t>
            </w:r>
            <w:r>
              <w:rPr>
                <w:rFonts w:hint="default" w:ascii="Times New Roman" w:hAnsi="Times New Roman" w:eastAsia="黑体" w:cs="Times New Roman"/>
                <w:b w:val="0"/>
                <w:bCs w:val="0"/>
                <w:sz w:val="28"/>
                <w:szCs w:val="28"/>
                <w:vertAlign w:val="baseline"/>
                <w:lang w:val="en-US" w:eastAsia="zh-CN"/>
              </w:rPr>
              <w:t>证书编号</w:t>
            </w:r>
          </w:p>
        </w:tc>
        <w:tc>
          <w:tcPr>
            <w:tcW w:w="254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default" w:ascii="Times New Roman" w:hAnsi="Times New Roman" w:eastAsia="黑体" w:cs="Times New Roman"/>
                <w:b w:val="0"/>
                <w:bCs w:val="0"/>
                <w:sz w:val="28"/>
                <w:szCs w:val="28"/>
                <w:vertAlign w:val="baseline"/>
                <w:lang w:val="en-US" w:eastAsia="zh-CN"/>
              </w:rPr>
            </w:pPr>
            <w:r>
              <w:rPr>
                <w:rFonts w:hint="eastAsia" w:ascii="Times New Roman" w:hAnsi="Times New Roman" w:eastAsia="黑体" w:cs="Times New Roman"/>
                <w:b w:val="0"/>
                <w:bCs w:val="0"/>
                <w:sz w:val="28"/>
                <w:szCs w:val="28"/>
                <w:vertAlign w:val="baseline"/>
                <w:lang w:val="en-US" w:eastAsia="zh-CN"/>
              </w:rPr>
              <w:t>高企证书</w:t>
            </w:r>
            <w:r>
              <w:rPr>
                <w:rFonts w:hint="default" w:ascii="Times New Roman" w:hAnsi="Times New Roman" w:eastAsia="黑体" w:cs="Times New Roman"/>
                <w:b w:val="0"/>
                <w:bCs w:val="0"/>
                <w:sz w:val="28"/>
                <w:szCs w:val="28"/>
                <w:vertAlign w:val="baseline"/>
                <w:lang w:val="en-US" w:eastAsia="zh-CN"/>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10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8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10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8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10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8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4</w:t>
            </w:r>
          </w:p>
        </w:tc>
        <w:tc>
          <w:tcPr>
            <w:tcW w:w="10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8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10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4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8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53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98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bl>
    <w:p>
      <w:pPr>
        <w:spacing w:line="460" w:lineRule="exact"/>
        <w:ind w:firstLine="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注：</w:t>
      </w:r>
    </w:p>
    <w:p>
      <w:pPr>
        <w:spacing w:line="460" w:lineRule="exact"/>
        <w:ind w:firstLine="0" w:firstLineChars="0"/>
        <w:rPr>
          <w:rFonts w:hint="default" w:ascii="Times New Roman" w:hAnsi="Times New Roman" w:eastAsia="仿宋" w:cs="Times New Roman"/>
          <w:b/>
          <w:bCs/>
          <w:sz w:val="24"/>
          <w:szCs w:val="24"/>
          <w:highlight w:val="none"/>
          <w:lang w:val="en-US" w:eastAsia="zh-CN"/>
        </w:rPr>
      </w:pPr>
      <w:r>
        <w:rPr>
          <w:rFonts w:hint="default" w:ascii="Times New Roman" w:hAnsi="Times New Roman" w:eastAsia="仿宋" w:cs="Times New Roman"/>
          <w:b/>
          <w:bCs/>
          <w:sz w:val="24"/>
          <w:szCs w:val="24"/>
          <w:highlight w:val="none"/>
          <w:lang w:val="en-US" w:eastAsia="zh-CN"/>
        </w:rPr>
        <w:t>本名单为2024年度享受增值税加计抵减政策先进制造业企业中的总公司名单，由总公司</w:t>
      </w:r>
      <w:r>
        <w:rPr>
          <w:rFonts w:hint="default" w:ascii="Times New Roman" w:hAnsi="Times New Roman" w:eastAsia="仿宋" w:cs="Times New Roman"/>
          <w:b/>
          <w:bCs/>
          <w:sz w:val="24"/>
          <w:szCs w:val="24"/>
          <w:highlight w:val="none"/>
        </w:rPr>
        <w:t>所在地的</w:t>
      </w:r>
      <w:r>
        <w:rPr>
          <w:rFonts w:hint="default" w:ascii="Times New Roman" w:hAnsi="Times New Roman" w:eastAsia="仿宋" w:cs="Times New Roman"/>
          <w:b/>
          <w:bCs/>
          <w:sz w:val="24"/>
          <w:szCs w:val="24"/>
          <w:highlight w:val="none"/>
          <w:lang w:val="en-US" w:eastAsia="zh-CN"/>
        </w:rPr>
        <w:t>各</w:t>
      </w:r>
      <w:r>
        <w:rPr>
          <w:rFonts w:hint="eastAsia" w:ascii="Times New Roman" w:hAnsi="Times New Roman" w:cs="Times New Roman"/>
          <w:b/>
          <w:bCs/>
          <w:sz w:val="24"/>
          <w:szCs w:val="24"/>
          <w:highlight w:val="none"/>
          <w:lang w:val="en-US" w:eastAsia="zh-CN"/>
        </w:rPr>
        <w:t>设区</w:t>
      </w:r>
      <w:r>
        <w:rPr>
          <w:rFonts w:hint="default" w:ascii="Times New Roman" w:hAnsi="Times New Roman" w:eastAsia="仿宋" w:cs="Times New Roman"/>
          <w:b/>
          <w:bCs/>
          <w:sz w:val="24"/>
          <w:szCs w:val="24"/>
          <w:highlight w:val="none"/>
          <w:lang w:val="en-US" w:eastAsia="zh-CN"/>
        </w:rPr>
        <w:t>市经信局会同同级科技、财政、税务部门联合</w:t>
      </w:r>
      <w:r>
        <w:rPr>
          <w:rFonts w:hint="default" w:ascii="Times New Roman" w:hAnsi="Times New Roman" w:eastAsia="仿宋" w:cs="Times New Roman"/>
          <w:b/>
          <w:bCs/>
          <w:sz w:val="24"/>
          <w:szCs w:val="24"/>
          <w:highlight w:val="none"/>
        </w:rPr>
        <w:t>确定</w:t>
      </w:r>
      <w:r>
        <w:rPr>
          <w:rFonts w:hint="default" w:ascii="Times New Roman" w:hAnsi="Times New Roman" w:eastAsia="仿宋" w:cs="Times New Roman"/>
          <w:b/>
          <w:bCs/>
          <w:sz w:val="24"/>
          <w:szCs w:val="24"/>
          <w:highlight w:val="none"/>
          <w:lang w:val="en-US" w:eastAsia="zh-CN"/>
        </w:rPr>
        <w:t>后</w:t>
      </w:r>
      <w:r>
        <w:rPr>
          <w:rFonts w:hint="eastAsia" w:ascii="Times New Roman" w:hAnsi="Times New Roman" w:cs="Times New Roman"/>
          <w:b/>
          <w:bCs/>
          <w:sz w:val="24"/>
          <w:szCs w:val="24"/>
          <w:highlight w:val="none"/>
          <w:lang w:val="en-US" w:eastAsia="zh-CN"/>
        </w:rPr>
        <w:t>，由设区市经信局加</w:t>
      </w:r>
      <w:r>
        <w:rPr>
          <w:rFonts w:hint="default" w:ascii="Times New Roman" w:hAnsi="Times New Roman" w:eastAsia="仿宋" w:cs="Times New Roman"/>
          <w:b/>
          <w:bCs/>
          <w:sz w:val="24"/>
          <w:szCs w:val="24"/>
          <w:highlight w:val="none"/>
          <w:lang w:val="en-US" w:eastAsia="zh-CN"/>
        </w:rPr>
        <w:t>盖公章</w:t>
      </w:r>
      <w:r>
        <w:rPr>
          <w:rFonts w:hint="eastAsia" w:ascii="Times New Roman" w:hAnsi="Times New Roman" w:cs="Times New Roman"/>
          <w:b/>
          <w:bCs/>
          <w:sz w:val="24"/>
          <w:szCs w:val="24"/>
          <w:highlight w:val="none"/>
          <w:lang w:val="en-US" w:eastAsia="zh-CN"/>
        </w:rPr>
        <w:t>报送</w:t>
      </w:r>
      <w:r>
        <w:rPr>
          <w:rFonts w:hint="default" w:ascii="Times New Roman" w:hAnsi="Times New Roman" w:eastAsia="仿宋" w:cs="Times New Roman"/>
          <w:b/>
          <w:bCs/>
          <w:sz w:val="24"/>
          <w:szCs w:val="24"/>
          <w:highlight w:val="none"/>
          <w:lang w:val="en-US" w:eastAsia="zh-CN"/>
        </w:rPr>
        <w:t>省经信厅</w:t>
      </w:r>
      <w:r>
        <w:rPr>
          <w:rFonts w:hint="eastAsia" w:ascii="Times New Roman" w:cs="Times New Roman"/>
          <w:b/>
          <w:bCs/>
          <w:sz w:val="24"/>
          <w:szCs w:val="24"/>
          <w:highlight w:val="none"/>
          <w:lang w:val="en-US" w:eastAsia="zh-CN"/>
        </w:rPr>
        <w:t>，其中名单信息需与企业系统信息保持一致</w:t>
      </w:r>
      <w:r>
        <w:rPr>
          <w:rFonts w:hint="default" w:ascii="Times New Roman" w:hAnsi="Times New Roman" w:eastAsia="仿宋" w:cs="Times New Roman"/>
          <w:b/>
          <w:bCs/>
          <w:sz w:val="24"/>
          <w:szCs w:val="24"/>
          <w:highlight w:val="none"/>
          <w:lang w:val="en-US" w:eastAsia="zh-CN"/>
        </w:rPr>
        <w:t>。</w:t>
      </w:r>
    </w:p>
    <w:p>
      <w:pPr>
        <w:widowControl w:val="0"/>
        <w:adjustRightInd w:val="0"/>
        <w:snapToGrid w:val="0"/>
        <w:spacing w:before="0" w:beforeLines="0" w:beforeAutospacing="0" w:after="0" w:afterLines="0" w:afterAutospacing="0" w:line="700" w:lineRule="exact"/>
        <w:jc w:val="center"/>
        <w:rPr>
          <w:rFonts w:hint="default" w:ascii="Times New Roman" w:hAnsi="Times New Roman" w:eastAsia="黑体" w:cs="Times New Roman"/>
          <w:b/>
          <w:bCs/>
          <w:kern w:val="44"/>
          <w:sz w:val="28"/>
          <w:szCs w:val="28"/>
          <w:lang w:val="en-US" w:eastAsia="zh-CN" w:bidi="ar"/>
        </w:rPr>
      </w:pPr>
      <w:r>
        <w:rPr>
          <w:rFonts w:hint="default" w:ascii="Times New Roman" w:hAnsi="Times New Roman" w:eastAsia="黑体" w:cs="Times New Roman"/>
          <w:b/>
          <w:bCs/>
          <w:kern w:val="44"/>
          <w:sz w:val="28"/>
          <w:szCs w:val="28"/>
          <w:lang w:val="en-US" w:eastAsia="zh-CN" w:bidi="ar"/>
        </w:rPr>
        <w:br w:type="page"/>
      </w:r>
    </w:p>
    <w:p>
      <w:pPr>
        <w:widowControl w:val="0"/>
        <w:adjustRightInd w:val="0"/>
        <w:snapToGrid w:val="0"/>
        <w:spacing w:before="0" w:beforeLines="0" w:beforeAutospacing="0" w:after="0" w:afterLines="0" w:afterAutospacing="0" w:line="700" w:lineRule="exact"/>
        <w:ind w:firstLine="0" w:firstLineChars="0"/>
        <w:jc w:val="center"/>
        <w:rPr>
          <w:rFonts w:hint="default" w:ascii="Times New Roman" w:hAnsi="Times New Roman" w:eastAsia="宋体" w:cs="Times New Roman"/>
          <w:b/>
          <w:bCs/>
          <w:kern w:val="44"/>
          <w:sz w:val="40"/>
          <w:szCs w:val="18"/>
          <w:highlight w:val="none"/>
          <w:lang w:val="en-US" w:eastAsia="zh-CN" w:bidi="ar"/>
        </w:rPr>
      </w:pPr>
      <w:r>
        <w:rPr>
          <w:rFonts w:hint="default" w:ascii="Times New Roman" w:hAnsi="Times New Roman" w:eastAsia="方正小标宋简体" w:cs="Times New Roman"/>
          <w:b w:val="0"/>
          <w:bCs w:val="0"/>
          <w:kern w:val="44"/>
          <w:sz w:val="40"/>
          <w:szCs w:val="18"/>
          <w:highlight w:val="none"/>
          <w:lang w:val="en-US" w:eastAsia="zh-CN" w:bidi="ar"/>
        </w:rPr>
        <w:t>2024年度享受增值税加计抵减政策先进制造业企业名单（非法人分支机构）</w:t>
      </w:r>
    </w:p>
    <w:p>
      <w:pPr>
        <w:keepNext w:val="0"/>
        <w:keepLines w:val="0"/>
        <w:pageBreakBefore w:val="0"/>
        <w:widowControl w:val="0"/>
        <w:numPr>
          <w:ilvl w:val="0"/>
          <w:numId w:val="0"/>
        </w:numPr>
        <w:kinsoku/>
        <w:wordWrap/>
        <w:overflowPunct/>
        <w:topLinePunct w:val="0"/>
        <w:autoSpaceDE/>
        <w:autoSpaceDN/>
        <w:bidi w:val="0"/>
        <w:adjustRightInd/>
        <w:snapToGrid/>
        <w:spacing w:before="315" w:beforeLines="100" w:after="0" w:afterLines="0" w:line="460" w:lineRule="exact"/>
        <w:ind w:firstLine="0" w:firstLineChars="0"/>
        <w:jc w:val="center"/>
        <w:textAlignment w:val="auto"/>
        <w:outlineLvl w:val="9"/>
        <w:rPr>
          <w:rFonts w:hint="default" w:ascii="Times New Roman" w:hAnsi="Times New Roman" w:eastAsia="黑体" w:cs="Times New Roman"/>
          <w:b/>
          <w:bCs/>
          <w:sz w:val="28"/>
          <w:szCs w:val="28"/>
          <w:lang w:val="en-US" w:eastAsia="zh-CN"/>
        </w:rPr>
      </w:pPr>
      <w:r>
        <w:rPr>
          <w:rFonts w:hint="default" w:ascii="Times New Roman" w:hAnsi="Times New Roman" w:eastAsia="黑体" w:cs="Times New Roman"/>
          <w:sz w:val="28"/>
          <w:szCs w:val="28"/>
        </w:rPr>
        <w:t>填报单位（公章）：</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u w:val="single"/>
          <w:lang w:val="en-US" w:eastAsia="zh-CN"/>
        </w:rPr>
        <w:t xml:space="preserve">                </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sz w:val="28"/>
          <w:szCs w:val="28"/>
        </w:rPr>
        <w:t xml:space="preserve"> 填报时间：</w:t>
      </w:r>
      <w:r>
        <w:rPr>
          <w:rFonts w:hint="default" w:ascii="Times New Roman" w:hAnsi="Times New Roman" w:eastAsia="黑体" w:cs="Times New Roman"/>
          <w:sz w:val="28"/>
          <w:szCs w:val="28"/>
          <w:u w:val="single"/>
        </w:rPr>
        <w:t xml:space="preserve">     年   月   日</w:t>
      </w:r>
    </w:p>
    <w:tbl>
      <w:tblPr>
        <w:tblStyle w:val="2"/>
        <w:tblW w:w="14127" w:type="dxa"/>
        <w:jc w:val="center"/>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28"/>
        <w:gridCol w:w="1516"/>
        <w:gridCol w:w="1710"/>
        <w:gridCol w:w="1775"/>
        <w:gridCol w:w="1163"/>
        <w:gridCol w:w="2000"/>
        <w:gridCol w:w="1962"/>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序号</w:t>
            </w:r>
          </w:p>
        </w:tc>
        <w:tc>
          <w:tcPr>
            <w:tcW w:w="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val="en-US" w:eastAsia="zh-CN"/>
              </w:rPr>
              <w:t>地市</w:t>
            </w:r>
          </w:p>
        </w:tc>
        <w:tc>
          <w:tcPr>
            <w:tcW w:w="15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kern w:val="2"/>
                <w:sz w:val="28"/>
                <w:szCs w:val="28"/>
                <w:vertAlign w:val="baseline"/>
                <w:lang w:val="en-US" w:eastAsia="zh-CN" w:bidi="ar-SA"/>
              </w:rPr>
            </w:pPr>
            <w:r>
              <w:rPr>
                <w:rFonts w:hint="default" w:ascii="Times New Roman" w:hAnsi="Times New Roman" w:eastAsia="黑体" w:cs="Times New Roman"/>
                <w:b w:val="0"/>
                <w:bCs w:val="0"/>
                <w:sz w:val="28"/>
                <w:szCs w:val="28"/>
                <w:vertAlign w:val="baseline"/>
                <w:lang w:val="en-US" w:eastAsia="zh-CN"/>
              </w:rPr>
              <w:t>县（市、区）</w:t>
            </w:r>
          </w:p>
        </w:tc>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w:t>
            </w:r>
            <w:r>
              <w:rPr>
                <w:rFonts w:hint="default" w:ascii="Times New Roman" w:hAnsi="Times New Roman" w:eastAsia="黑体" w:cs="Times New Roman"/>
                <w:b w:val="0"/>
                <w:bCs w:val="0"/>
                <w:sz w:val="28"/>
                <w:szCs w:val="28"/>
                <w:vertAlign w:val="baseline"/>
                <w:lang w:eastAsia="zh-CN"/>
              </w:rPr>
              <w:t>分支机构</w:t>
            </w:r>
            <w:r>
              <w:rPr>
                <w:rFonts w:hint="default" w:ascii="Times New Roman" w:hAnsi="Times New Roman" w:eastAsia="黑体" w:cs="Times New Roman"/>
                <w:b w:val="0"/>
                <w:bCs w:val="0"/>
                <w:sz w:val="28"/>
                <w:szCs w:val="28"/>
                <w:vertAlign w:val="baseline"/>
                <w:lang w:val="en-US" w:eastAsia="zh-CN"/>
              </w:rPr>
              <w:t>名称</w:t>
            </w:r>
          </w:p>
        </w:tc>
        <w:tc>
          <w:tcPr>
            <w:tcW w:w="17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非法人分支机构统一社会信用代码</w:t>
            </w:r>
          </w:p>
        </w:tc>
        <w:tc>
          <w:tcPr>
            <w:tcW w:w="11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总公司名称</w:t>
            </w: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sz w:val="28"/>
                <w:szCs w:val="28"/>
              </w:rPr>
              <w:t>总公司统一社会信用代码</w:t>
            </w:r>
          </w:p>
        </w:tc>
        <w:tc>
          <w:tcPr>
            <w:tcW w:w="1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总公司</w:t>
            </w:r>
            <w:r>
              <w:rPr>
                <w:rFonts w:hint="eastAsia" w:ascii="Times New Roman" w:hAnsi="Times New Roman" w:eastAsia="黑体" w:cs="Times New Roman"/>
                <w:b w:val="0"/>
                <w:bCs w:val="0"/>
                <w:sz w:val="28"/>
                <w:szCs w:val="28"/>
                <w:vertAlign w:val="baseline"/>
                <w:lang w:val="en-US" w:eastAsia="zh-CN"/>
              </w:rPr>
              <w:t>高企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证书编号</w:t>
            </w:r>
          </w:p>
        </w:tc>
        <w:tc>
          <w:tcPr>
            <w:tcW w:w="2314" w:type="dxa"/>
            <w:noWrap w:val="0"/>
            <w:vAlign w:val="center"/>
          </w:tcPr>
          <w:p>
            <w:pPr>
              <w:spacing w:line="240" w:lineRule="auto"/>
              <w:ind w:firstLine="0" w:firstLineChars="0"/>
              <w:rPr>
                <w:rFonts w:ascii="Times New Roman" w:hAnsi="Times New Roman" w:cs="Times New Roman"/>
              </w:rPr>
            </w:pPr>
            <w:r>
              <w:rPr>
                <w:rFonts w:hint="default" w:ascii="Times New Roman" w:hAnsi="Times New Roman" w:eastAsia="黑体" w:cs="Times New Roman"/>
                <w:b w:val="0"/>
                <w:bCs w:val="0"/>
                <w:sz w:val="28"/>
                <w:szCs w:val="28"/>
                <w:vertAlign w:val="baseline"/>
                <w:lang w:val="en-US" w:eastAsia="zh-CN"/>
              </w:rPr>
              <w:t>总公司</w:t>
            </w:r>
            <w:r>
              <w:rPr>
                <w:rFonts w:hint="eastAsia" w:ascii="Times New Roman" w:hAnsi="Times New Roman" w:eastAsia="黑体" w:cs="Times New Roman"/>
                <w:b w:val="0"/>
                <w:bCs w:val="0"/>
                <w:sz w:val="28"/>
                <w:szCs w:val="28"/>
                <w:vertAlign w:val="baseline"/>
                <w:lang w:val="en-US" w:eastAsia="zh-CN"/>
              </w:rPr>
              <w:t>高企证书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Times New Roman" w:hAnsi="Times New Roman" w:eastAsia="黑体" w:cs="Times New Roman"/>
                <w:b w:val="0"/>
                <w:bCs w:val="0"/>
                <w:sz w:val="28"/>
                <w:szCs w:val="28"/>
                <w:vertAlign w:val="baseline"/>
                <w:lang w:val="en-US" w:eastAsia="zh-CN"/>
              </w:rPr>
            </w:pPr>
            <w:r>
              <w:rPr>
                <w:rFonts w:hint="default" w:ascii="Times New Roman" w:hAnsi="Times New Roman" w:eastAsia="黑体" w:cs="Times New Roman"/>
                <w:b w:val="0"/>
                <w:bCs w:val="0"/>
                <w:sz w:val="28"/>
                <w:szCs w:val="28"/>
                <w:vertAlign w:val="baseline"/>
                <w:lang w:val="en-US" w:eastAsia="zh-CN"/>
              </w:rPr>
              <w:t>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1</w:t>
            </w:r>
          </w:p>
        </w:tc>
        <w:tc>
          <w:tcPr>
            <w:tcW w:w="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5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7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1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1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c>
          <w:tcPr>
            <w:tcW w:w="23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color w:val="C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2</w:t>
            </w:r>
          </w:p>
        </w:tc>
        <w:tc>
          <w:tcPr>
            <w:tcW w:w="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1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3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3</w:t>
            </w:r>
          </w:p>
        </w:tc>
        <w:tc>
          <w:tcPr>
            <w:tcW w:w="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1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3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4</w:t>
            </w:r>
          </w:p>
        </w:tc>
        <w:tc>
          <w:tcPr>
            <w:tcW w:w="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1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3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8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b/>
                <w:bCs/>
                <w:sz w:val="28"/>
                <w:szCs w:val="28"/>
                <w:vertAlign w:val="baseline"/>
                <w:lang w:val="en-US" w:eastAsia="zh-CN"/>
              </w:rPr>
            </w:pPr>
            <w:r>
              <w:rPr>
                <w:rFonts w:hint="default" w:ascii="Times New Roman" w:hAnsi="Times New Roman" w:eastAsia="宋体" w:cs="Times New Roman"/>
                <w:b/>
                <w:bCs/>
                <w:sz w:val="28"/>
                <w:szCs w:val="28"/>
                <w:vertAlign w:val="baseline"/>
                <w:lang w:val="en-US" w:eastAsia="zh-CN"/>
              </w:rPr>
              <w:t>....</w:t>
            </w:r>
          </w:p>
        </w:tc>
        <w:tc>
          <w:tcPr>
            <w:tcW w:w="8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5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7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1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0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1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c>
          <w:tcPr>
            <w:tcW w:w="23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0" w:firstLineChars="0"/>
              <w:jc w:val="center"/>
              <w:textAlignment w:val="auto"/>
              <w:outlineLvl w:val="9"/>
              <w:rPr>
                <w:rFonts w:hint="default" w:ascii="Times New Roman" w:hAnsi="Times New Roman" w:eastAsia="宋体" w:cs="Times New Roman"/>
                <w:sz w:val="28"/>
                <w:szCs w:val="28"/>
                <w:vertAlign w:val="baseline"/>
                <w:lang w:val="en-US" w:eastAsia="zh-CN"/>
              </w:rPr>
            </w:pPr>
          </w:p>
        </w:tc>
      </w:tr>
    </w:tbl>
    <w:p>
      <w:pPr>
        <w:spacing w:line="460" w:lineRule="exact"/>
        <w:ind w:firstLine="0" w:firstLineChars="0"/>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注：</w:t>
      </w:r>
    </w:p>
    <w:p>
      <w:pPr>
        <w:spacing w:line="460" w:lineRule="exact"/>
        <w:ind w:firstLine="0" w:firstLineChars="0"/>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本名单为2024年度享受增值税加计抵减政策先进制造业企业中的非法人分支机构名单</w:t>
      </w:r>
      <w:r>
        <w:rPr>
          <w:rFonts w:hint="default" w:ascii="Times New Roman" w:hAnsi="Times New Roman" w:eastAsia="仿宋" w:cs="Times New Roman"/>
          <w:b/>
          <w:bCs/>
          <w:sz w:val="24"/>
          <w:szCs w:val="24"/>
          <w:lang w:eastAsia="zh-CN"/>
        </w:rPr>
        <w:t>（不含增值税汇总纳税企业的非法人分支机构）</w:t>
      </w:r>
      <w:r>
        <w:rPr>
          <w:rFonts w:hint="default" w:ascii="Times New Roman" w:hAnsi="Times New Roman" w:eastAsia="仿宋" w:cs="Times New Roman"/>
          <w:b/>
          <w:bCs/>
          <w:sz w:val="24"/>
          <w:szCs w:val="24"/>
          <w:lang w:val="en-US" w:eastAsia="zh-CN"/>
        </w:rPr>
        <w:t>，由非法人分支机构</w:t>
      </w:r>
      <w:r>
        <w:rPr>
          <w:rFonts w:hint="default" w:ascii="Times New Roman" w:hAnsi="Times New Roman" w:eastAsia="仿宋" w:cs="Times New Roman"/>
          <w:b/>
          <w:bCs/>
          <w:sz w:val="24"/>
          <w:szCs w:val="24"/>
        </w:rPr>
        <w:t>所在地的</w:t>
      </w:r>
      <w:r>
        <w:rPr>
          <w:rFonts w:hint="default" w:ascii="Times New Roman" w:hAnsi="Times New Roman" w:eastAsia="仿宋" w:cs="Times New Roman"/>
          <w:b/>
          <w:bCs/>
          <w:sz w:val="24"/>
          <w:szCs w:val="24"/>
          <w:lang w:val="en-US" w:eastAsia="zh-CN"/>
        </w:rPr>
        <w:t>各</w:t>
      </w:r>
      <w:r>
        <w:rPr>
          <w:rFonts w:hint="eastAsia" w:ascii="Times New Roman" w:hAnsi="Times New Roman" w:cs="Times New Roman"/>
          <w:b/>
          <w:bCs/>
          <w:sz w:val="24"/>
          <w:szCs w:val="24"/>
          <w:lang w:val="en-US" w:eastAsia="zh-CN"/>
        </w:rPr>
        <w:t>设区</w:t>
      </w:r>
      <w:r>
        <w:rPr>
          <w:rFonts w:hint="default" w:ascii="Times New Roman" w:hAnsi="Times New Roman" w:eastAsia="仿宋" w:cs="Times New Roman"/>
          <w:b/>
          <w:bCs/>
          <w:sz w:val="24"/>
          <w:szCs w:val="24"/>
          <w:lang w:val="en-US" w:eastAsia="zh-CN"/>
        </w:rPr>
        <w:t>市经信局会同同级科技、财政、税务部门联合</w:t>
      </w:r>
      <w:r>
        <w:rPr>
          <w:rFonts w:hint="default" w:ascii="Times New Roman" w:hAnsi="Times New Roman" w:eastAsia="仿宋" w:cs="Times New Roman"/>
          <w:b/>
          <w:bCs/>
          <w:sz w:val="24"/>
          <w:szCs w:val="24"/>
        </w:rPr>
        <w:t>确定</w:t>
      </w:r>
      <w:r>
        <w:rPr>
          <w:rFonts w:hint="default" w:ascii="Times New Roman" w:hAnsi="Times New Roman" w:eastAsia="仿宋" w:cs="Times New Roman"/>
          <w:b/>
          <w:bCs/>
          <w:sz w:val="24"/>
          <w:szCs w:val="24"/>
          <w:lang w:val="en-US" w:eastAsia="zh-CN"/>
        </w:rPr>
        <w:t>后</w:t>
      </w:r>
      <w:r>
        <w:rPr>
          <w:rFonts w:hint="eastAsia" w:ascii="Times New Roman" w:hAnsi="Times New Roman" w:cs="Times New Roman"/>
          <w:b/>
          <w:bCs/>
          <w:sz w:val="24"/>
          <w:szCs w:val="24"/>
          <w:lang w:val="en-US" w:eastAsia="zh-CN"/>
        </w:rPr>
        <w:t>，由设区市经信局加盖公章报送</w:t>
      </w:r>
      <w:r>
        <w:rPr>
          <w:rFonts w:hint="default" w:ascii="Times New Roman" w:hAnsi="Times New Roman" w:eastAsia="仿宋" w:cs="Times New Roman"/>
          <w:b/>
          <w:bCs/>
          <w:sz w:val="24"/>
          <w:szCs w:val="24"/>
          <w:lang w:val="en-US" w:eastAsia="zh-CN"/>
        </w:rPr>
        <w:t>省经信厅</w:t>
      </w:r>
      <w:r>
        <w:rPr>
          <w:rFonts w:hint="eastAsia" w:ascii="Times New Roman" w:cs="Times New Roman"/>
          <w:b/>
          <w:bCs/>
          <w:sz w:val="24"/>
          <w:szCs w:val="24"/>
          <w:highlight w:val="none"/>
          <w:lang w:val="en-US" w:eastAsia="zh-CN"/>
        </w:rPr>
        <w:t>，其中名单信息需与企业系统信息保持一致</w:t>
      </w:r>
      <w:r>
        <w:rPr>
          <w:rFonts w:hint="default" w:ascii="Times New Roman" w:hAnsi="Times New Roman" w:eastAsia="仿宋" w:cs="Times New Roman"/>
          <w:b/>
          <w:bCs/>
          <w:sz w:val="24"/>
          <w:szCs w:val="24"/>
          <w:lang w:val="en-US" w:eastAsia="zh-CN"/>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62281"/>
    <w:rsid w:val="44A62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643"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2024-08-05T10:22:00Z</dcterms:created>
  <dc:creator>毛毛扎</dc:creator>
  <cp:lastModifiedBy>毛毛扎</cp:lastModifiedBy>
  <dcterms:modified xsi:type="dcterms:W3CDTF">2024-08-05T10:22:55Z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