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A24AD5">
      <w:pPr>
        <w:overflowPunct w:val="0"/>
        <w:adjustRightInd w:val="0"/>
        <w:snapToGrid w:val="0"/>
        <w:spacing w:line="580" w:lineRule="exact"/>
        <w:ind w:firstLine="640" w:firstLineChars="200"/>
        <w:outlineLvl w:val="0"/>
        <w:rPr>
          <w:rFonts w:ascii="Calibri" w:hAnsi="Calibri"/>
        </w:rPr>
      </w:pPr>
      <w:bookmarkStart w:id="0" w:name="_GoBack"/>
      <w:r>
        <w:rPr>
          <w:rFonts w:hint="eastAsia" w:ascii="黑体" w:hAnsi="黑体" w:eastAsia="黑体" w:cs="黑体"/>
          <w:sz w:val="32"/>
          <w:szCs w:val="32"/>
        </w:rPr>
        <w:t>附件2</w:t>
      </w:r>
    </w:p>
    <w:p w14:paraId="3267CB24">
      <w:pPr>
        <w:adjustRightInd w:val="0"/>
        <w:snapToGrid w:val="0"/>
        <w:spacing w:line="680" w:lineRule="exact"/>
        <w:jc w:val="center"/>
        <w:outlineLvl w:val="1"/>
        <w:rPr>
          <w:rFonts w:hint="eastAsia" w:eastAsia="方正小标宋简体"/>
          <w:color w:val="000000"/>
          <w:sz w:val="48"/>
          <w:szCs w:val="48"/>
        </w:rPr>
      </w:pPr>
    </w:p>
    <w:p w14:paraId="3E19F04C">
      <w:pPr>
        <w:adjustRightInd w:val="0"/>
        <w:snapToGrid w:val="0"/>
        <w:spacing w:line="680" w:lineRule="exact"/>
        <w:jc w:val="center"/>
        <w:outlineLvl w:val="1"/>
        <w:rPr>
          <w:rFonts w:eastAsia="方正小标宋简体"/>
          <w:color w:val="000000"/>
          <w:sz w:val="48"/>
          <w:szCs w:val="48"/>
        </w:rPr>
      </w:pPr>
      <w:r>
        <w:rPr>
          <w:rFonts w:hint="eastAsia" w:eastAsia="方正小标宋简体"/>
          <w:color w:val="000000"/>
          <w:sz w:val="48"/>
          <w:szCs w:val="48"/>
        </w:rPr>
        <w:t>浙江省</w:t>
      </w:r>
      <w:r>
        <w:rPr>
          <w:rFonts w:hint="eastAsia" w:eastAsia="方正小标宋简体"/>
          <w:color w:val="000000"/>
          <w:sz w:val="48"/>
          <w:szCs w:val="48"/>
          <w:lang w:eastAsia="zh"/>
        </w:rPr>
        <w:t>概念验证中心</w:t>
      </w:r>
      <w:r>
        <w:rPr>
          <w:rFonts w:eastAsia="方正小标宋简体"/>
          <w:color w:val="000000"/>
          <w:sz w:val="48"/>
          <w:szCs w:val="48"/>
        </w:rPr>
        <w:t>建设指引</w:t>
      </w:r>
      <w:r>
        <w:rPr>
          <w:rFonts w:hint="eastAsia" w:eastAsia="方正小标宋简体"/>
          <w:color w:val="000000"/>
          <w:sz w:val="48"/>
          <w:szCs w:val="48"/>
        </w:rPr>
        <w:t>（试行）</w:t>
      </w:r>
      <w:bookmarkEnd w:id="0"/>
    </w:p>
    <w:p w14:paraId="103F4DE3">
      <w:pPr>
        <w:adjustRightInd w:val="0"/>
        <w:snapToGrid w:val="0"/>
        <w:spacing w:line="680" w:lineRule="exact"/>
        <w:jc w:val="center"/>
        <w:rPr>
          <w:color w:val="000000"/>
          <w:sz w:val="36"/>
          <w:szCs w:val="36"/>
        </w:rPr>
      </w:pPr>
      <w:r>
        <w:rPr>
          <w:rFonts w:hint="eastAsia" w:ascii="楷体_GB2312" w:hAnsi="楷体_GB2312" w:eastAsia="楷体_GB2312" w:cs="楷体_GB2312"/>
          <w:color w:val="000000"/>
          <w:sz w:val="32"/>
          <w:szCs w:val="32"/>
        </w:rPr>
        <w:t>（征求意见稿）</w:t>
      </w:r>
    </w:p>
    <w:p w14:paraId="63DD2034">
      <w:pPr>
        <w:adjustRightInd w:val="0"/>
        <w:snapToGrid w:val="0"/>
        <w:spacing w:line="580" w:lineRule="exact"/>
        <w:ind w:firstLine="640" w:firstLineChars="200"/>
        <w:rPr>
          <w:rFonts w:hint="eastAsia" w:eastAsia="仿宋_GB2312"/>
          <w:color w:val="000000"/>
          <w:sz w:val="32"/>
          <w:szCs w:val="32"/>
        </w:rPr>
      </w:pPr>
    </w:p>
    <w:p w14:paraId="1D4E7538">
      <w:pPr>
        <w:adjustRightInd w:val="0"/>
        <w:snapToGrid w:val="0"/>
        <w:spacing w:line="580" w:lineRule="exact"/>
        <w:ind w:firstLine="640" w:firstLineChars="200"/>
        <w:rPr>
          <w:rFonts w:eastAsia="仿宋_GB2312"/>
          <w:color w:val="000000"/>
          <w:sz w:val="32"/>
          <w:szCs w:val="32"/>
        </w:rPr>
      </w:pPr>
      <w:r>
        <w:rPr>
          <w:rFonts w:hint="eastAsia" w:eastAsia="仿宋_GB2312"/>
          <w:color w:val="000000"/>
          <w:sz w:val="32"/>
          <w:szCs w:val="32"/>
        </w:rPr>
        <w:t>为全面贯彻落实省委省政府《关于加快建设创新浙江 因地制宜发展新质生产力的实施方案》，</w:t>
      </w:r>
      <w:r>
        <w:rPr>
          <w:rFonts w:eastAsia="仿宋_GB2312"/>
          <w:color w:val="000000"/>
          <w:sz w:val="32"/>
          <w:szCs w:val="32"/>
        </w:rPr>
        <w:t>提升</w:t>
      </w:r>
      <w:r>
        <w:rPr>
          <w:rFonts w:hint="eastAsia" w:eastAsia="仿宋_GB2312"/>
          <w:color w:val="000000"/>
          <w:sz w:val="32"/>
          <w:szCs w:val="32"/>
        </w:rPr>
        <w:t>我省</w:t>
      </w:r>
      <w:r>
        <w:rPr>
          <w:rFonts w:eastAsia="仿宋_GB2312"/>
          <w:color w:val="000000"/>
          <w:sz w:val="32"/>
          <w:szCs w:val="32"/>
        </w:rPr>
        <w:t>科技成果转化质效，推动</w:t>
      </w:r>
      <w:r>
        <w:rPr>
          <w:rFonts w:hint="eastAsia" w:eastAsia="仿宋_GB2312"/>
          <w:color w:val="000000"/>
          <w:sz w:val="32"/>
          <w:szCs w:val="32"/>
        </w:rPr>
        <w:t>教育科技人才融合贯通、</w:t>
      </w:r>
      <w:r>
        <w:rPr>
          <w:rFonts w:eastAsia="仿宋_GB2312"/>
          <w:color w:val="000000"/>
          <w:sz w:val="32"/>
          <w:szCs w:val="32"/>
        </w:rPr>
        <w:t>科技创新和产业创新深度融合，</w:t>
      </w:r>
      <w:r>
        <w:rPr>
          <w:rFonts w:hint="eastAsia" w:eastAsia="仿宋_GB2312"/>
          <w:color w:val="000000"/>
          <w:sz w:val="32"/>
          <w:szCs w:val="32"/>
        </w:rPr>
        <w:t>根据《关于加快建设</w:t>
      </w:r>
      <w:r>
        <w:rPr>
          <w:rFonts w:hint="eastAsia" w:eastAsia="仿宋_GB2312"/>
          <w:color w:val="000000"/>
          <w:sz w:val="32"/>
          <w:szCs w:val="32"/>
          <w:lang w:eastAsia="zh"/>
        </w:rPr>
        <w:t>概念验证中心</w:t>
      </w:r>
      <w:r>
        <w:rPr>
          <w:rFonts w:hint="eastAsia" w:eastAsia="仿宋_GB2312"/>
          <w:color w:val="000000"/>
          <w:sz w:val="32"/>
          <w:szCs w:val="32"/>
        </w:rPr>
        <w:t xml:space="preserve"> 促进科技成果高效转化的实施意见》，</w:t>
      </w:r>
      <w:r>
        <w:rPr>
          <w:rFonts w:eastAsia="仿宋_GB2312"/>
          <w:color w:val="000000"/>
          <w:sz w:val="32"/>
          <w:szCs w:val="32"/>
        </w:rPr>
        <w:t>加快布局</w:t>
      </w:r>
      <w:r>
        <w:rPr>
          <w:rFonts w:hint="eastAsia" w:eastAsia="仿宋_GB2312"/>
          <w:color w:val="000000"/>
          <w:sz w:val="32"/>
          <w:szCs w:val="32"/>
          <w:lang w:eastAsia="zh"/>
        </w:rPr>
        <w:t>概念验证中心</w:t>
      </w:r>
      <w:r>
        <w:rPr>
          <w:rFonts w:eastAsia="仿宋_GB2312"/>
          <w:color w:val="000000"/>
          <w:sz w:val="32"/>
          <w:szCs w:val="32"/>
        </w:rPr>
        <w:t>，制定本指引。</w:t>
      </w:r>
    </w:p>
    <w:p w14:paraId="01F56595">
      <w:pPr>
        <w:adjustRightInd w:val="0"/>
        <w:snapToGrid w:val="0"/>
        <w:spacing w:line="580" w:lineRule="exact"/>
        <w:ind w:firstLine="640" w:firstLineChars="200"/>
        <w:rPr>
          <w:rFonts w:eastAsia="黑体"/>
          <w:color w:val="000000"/>
          <w:sz w:val="32"/>
          <w:szCs w:val="32"/>
        </w:rPr>
      </w:pPr>
      <w:r>
        <w:rPr>
          <w:rFonts w:eastAsia="黑体"/>
          <w:color w:val="000000"/>
          <w:sz w:val="32"/>
          <w:szCs w:val="32"/>
        </w:rPr>
        <w:t>一、基本定义</w:t>
      </w:r>
    </w:p>
    <w:p w14:paraId="1AA79B32">
      <w:pPr>
        <w:spacing w:line="580" w:lineRule="exact"/>
        <w:ind w:firstLine="640" w:firstLineChars="200"/>
        <w:rPr>
          <w:rFonts w:eastAsia="仿宋_GB2312"/>
          <w:color w:val="000000"/>
          <w:sz w:val="32"/>
          <w:szCs w:val="32"/>
        </w:rPr>
      </w:pPr>
      <w:r>
        <w:rPr>
          <w:rFonts w:hint="eastAsia" w:eastAsia="仿宋_GB2312"/>
          <w:color w:val="000000"/>
          <w:sz w:val="32"/>
          <w:szCs w:val="32"/>
          <w:lang w:eastAsia="zh"/>
        </w:rPr>
        <w:t>概念验证中心</w:t>
      </w:r>
      <w:r>
        <w:rPr>
          <w:rFonts w:eastAsia="仿宋_GB2312"/>
          <w:color w:val="000000"/>
          <w:sz w:val="32"/>
          <w:szCs w:val="32"/>
        </w:rPr>
        <w:t>是依托高校院所、科创平台、研究型医院、企业、服务机构等独立或合作建设，为已明确基本原理或技术方案的早期科研成果提供原理验证、产品与场景体系验证、原型制备与技术可行性验证、商业前景验证等概念验证服务及关联服务的创新载体。其核心功能是通过小规模实验或原型开发，验证技术、产业或商业模式的可行性，降低早期创新项目风险，并为后续规模化开发或商业化落地提供科学依据。</w:t>
      </w:r>
    </w:p>
    <w:p w14:paraId="2FE329E9">
      <w:pPr>
        <w:adjustRightInd w:val="0"/>
        <w:snapToGrid w:val="0"/>
        <w:spacing w:line="580" w:lineRule="exact"/>
        <w:ind w:firstLine="640" w:firstLineChars="200"/>
        <w:rPr>
          <w:rFonts w:eastAsia="黑体"/>
          <w:color w:val="000000"/>
          <w:sz w:val="32"/>
          <w:szCs w:val="32"/>
        </w:rPr>
      </w:pPr>
      <w:r>
        <w:rPr>
          <w:rFonts w:eastAsia="黑体"/>
          <w:color w:val="000000"/>
          <w:sz w:val="32"/>
          <w:szCs w:val="32"/>
        </w:rPr>
        <w:t>二、标准条件</w:t>
      </w:r>
    </w:p>
    <w:p w14:paraId="26AC4201">
      <w:pPr>
        <w:adjustRightInd w:val="0"/>
        <w:snapToGrid w:val="0"/>
        <w:spacing w:line="580" w:lineRule="exact"/>
        <w:ind w:firstLine="643" w:firstLineChars="200"/>
        <w:rPr>
          <w:rFonts w:eastAsia="仿宋_GB2312"/>
          <w:color w:val="000000"/>
          <w:sz w:val="32"/>
          <w:szCs w:val="32"/>
        </w:rPr>
      </w:pPr>
      <w:r>
        <w:rPr>
          <w:rFonts w:eastAsia="楷体_GB2312"/>
          <w:b/>
          <w:bCs/>
          <w:color w:val="000000"/>
          <w:sz w:val="32"/>
          <w:szCs w:val="32"/>
        </w:rPr>
        <w:t>（一）建设主体</w:t>
      </w:r>
      <w:r>
        <w:rPr>
          <w:rFonts w:eastAsia="仿宋_GB2312"/>
          <w:b/>
          <w:bCs/>
          <w:color w:val="000000"/>
          <w:sz w:val="32"/>
          <w:szCs w:val="32"/>
        </w:rPr>
        <w:t>。</w:t>
      </w:r>
      <w:r>
        <w:rPr>
          <w:rFonts w:hint="eastAsia" w:eastAsia="仿宋_GB2312"/>
          <w:color w:val="000000"/>
          <w:sz w:val="32"/>
          <w:szCs w:val="32"/>
          <w:lang w:eastAsia="zh"/>
        </w:rPr>
        <w:t>概念验证中心</w:t>
      </w:r>
      <w:r>
        <w:rPr>
          <w:rFonts w:hint="eastAsia" w:eastAsia="仿宋_GB2312"/>
          <w:color w:val="000000"/>
          <w:sz w:val="32"/>
          <w:szCs w:val="32"/>
        </w:rPr>
        <w:t>建设主体应在浙江省内注册登记且具有</w:t>
      </w:r>
      <w:r>
        <w:rPr>
          <w:rFonts w:eastAsia="仿宋_GB2312"/>
          <w:color w:val="000000"/>
          <w:sz w:val="32"/>
          <w:szCs w:val="32"/>
        </w:rPr>
        <w:t>独立法人</w:t>
      </w:r>
      <w:r>
        <w:rPr>
          <w:rFonts w:hint="eastAsia" w:eastAsia="仿宋_GB2312"/>
          <w:color w:val="000000"/>
          <w:sz w:val="32"/>
          <w:szCs w:val="32"/>
        </w:rPr>
        <w:t>资格</w:t>
      </w:r>
      <w:r>
        <w:rPr>
          <w:rFonts w:eastAsia="仿宋_GB2312"/>
          <w:color w:val="000000"/>
          <w:sz w:val="32"/>
          <w:szCs w:val="32"/>
        </w:rPr>
        <w:t>。鼓励我省“双一流196工程”建设高校、高能级</w:t>
      </w:r>
      <w:r>
        <w:rPr>
          <w:rFonts w:hint="eastAsia" w:eastAsia="仿宋_GB2312"/>
          <w:color w:val="000000"/>
          <w:sz w:val="32"/>
          <w:szCs w:val="32"/>
        </w:rPr>
        <w:t>科创</w:t>
      </w:r>
      <w:r>
        <w:rPr>
          <w:rFonts w:eastAsia="仿宋_GB2312"/>
          <w:color w:val="000000"/>
          <w:sz w:val="32"/>
          <w:szCs w:val="32"/>
        </w:rPr>
        <w:t>平台、研究型医院、科技企业等，充分利用已有的</w:t>
      </w:r>
      <w:r>
        <w:rPr>
          <w:rFonts w:hint="eastAsia" w:eastAsia="仿宋_GB2312"/>
          <w:color w:val="000000"/>
          <w:sz w:val="32"/>
          <w:szCs w:val="32"/>
        </w:rPr>
        <w:t>平台、人才、设备等创新资源，</w:t>
      </w:r>
      <w:r>
        <w:rPr>
          <w:rFonts w:eastAsia="仿宋_GB2312"/>
          <w:color w:val="000000"/>
          <w:sz w:val="32"/>
          <w:szCs w:val="32"/>
        </w:rPr>
        <w:t>采取联合或独立方式建设面向社会开放共享的</w:t>
      </w:r>
      <w:r>
        <w:rPr>
          <w:rFonts w:hint="eastAsia" w:eastAsia="仿宋_GB2312"/>
          <w:color w:val="000000"/>
          <w:sz w:val="32"/>
          <w:szCs w:val="32"/>
          <w:lang w:eastAsia="zh"/>
        </w:rPr>
        <w:t>概念验证中心</w:t>
      </w:r>
      <w:r>
        <w:rPr>
          <w:rFonts w:eastAsia="仿宋_GB2312"/>
          <w:color w:val="000000"/>
          <w:sz w:val="32"/>
          <w:szCs w:val="32"/>
        </w:rPr>
        <w:t>。</w:t>
      </w:r>
      <w:r>
        <w:rPr>
          <w:rFonts w:hint="eastAsia" w:eastAsia="仿宋_GB2312"/>
          <w:color w:val="000000"/>
          <w:sz w:val="32"/>
          <w:szCs w:val="32"/>
        </w:rPr>
        <w:t>鼓励设立</w:t>
      </w:r>
      <w:r>
        <w:rPr>
          <w:rFonts w:eastAsia="仿宋_GB2312"/>
          <w:color w:val="000000"/>
          <w:sz w:val="32"/>
          <w:szCs w:val="32"/>
        </w:rPr>
        <w:t>独立法人性质的</w:t>
      </w:r>
      <w:r>
        <w:rPr>
          <w:rFonts w:hint="eastAsia" w:eastAsia="仿宋_GB2312"/>
          <w:color w:val="000000"/>
          <w:sz w:val="32"/>
          <w:szCs w:val="32"/>
          <w:lang w:eastAsia="zh"/>
        </w:rPr>
        <w:t>概念验证中心</w:t>
      </w:r>
      <w:r>
        <w:rPr>
          <w:rFonts w:eastAsia="仿宋_GB2312"/>
          <w:color w:val="000000"/>
          <w:sz w:val="32"/>
          <w:szCs w:val="32"/>
        </w:rPr>
        <w:t>。</w:t>
      </w:r>
    </w:p>
    <w:p w14:paraId="7589B507">
      <w:pPr>
        <w:adjustRightInd w:val="0"/>
        <w:snapToGrid w:val="0"/>
        <w:spacing w:line="580" w:lineRule="exact"/>
        <w:ind w:firstLine="643" w:firstLineChars="200"/>
        <w:rPr>
          <w:rFonts w:eastAsia="楷体_GB2312"/>
          <w:b/>
          <w:bCs/>
          <w:color w:val="000000"/>
          <w:sz w:val="32"/>
          <w:szCs w:val="32"/>
        </w:rPr>
      </w:pPr>
      <w:r>
        <w:rPr>
          <w:rFonts w:eastAsia="楷体_GB2312"/>
          <w:b/>
          <w:bCs/>
          <w:color w:val="000000"/>
          <w:sz w:val="32"/>
          <w:szCs w:val="32"/>
        </w:rPr>
        <w:t>（二）创建标准</w:t>
      </w:r>
    </w:p>
    <w:p w14:paraId="2520C528">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1.具有原理验证、产品与场景体系验证、原型试制与技术可行性验证、用户验证等服务能力，具备完善的运营管理能力及适应开放共享要求的运行机制</w:t>
      </w:r>
      <w:r>
        <w:rPr>
          <w:rFonts w:hint="eastAsia" w:eastAsia="仿宋_GB2312"/>
          <w:color w:val="000000"/>
          <w:sz w:val="32"/>
          <w:szCs w:val="32"/>
        </w:rPr>
        <w:t>，整合相关平台、实验室及产业链上下游创新主体，共同提供服务</w:t>
      </w:r>
      <w:r>
        <w:rPr>
          <w:rFonts w:eastAsia="仿宋_GB2312"/>
          <w:color w:val="000000"/>
          <w:sz w:val="32"/>
          <w:szCs w:val="32"/>
        </w:rPr>
        <w:t>。建有对外服务的激励机制，建立完善的知识产权保护相关制度及措施，向社会提供开放式概念验证服务。</w:t>
      </w:r>
    </w:p>
    <w:p w14:paraId="404C2BBA">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2.拥有概念验证服务相关资源，能够为概念验证项目提供供应链与渠道构建、产品成本控制与核算、投融资、市场分析、商业化支持等服务。开展概念验证服务所需的固定场地</w:t>
      </w:r>
      <w:r>
        <w:rPr>
          <w:rFonts w:hint="eastAsia" w:eastAsia="仿宋_GB2312"/>
          <w:color w:val="000000"/>
          <w:sz w:val="32"/>
          <w:szCs w:val="32"/>
        </w:rPr>
        <w:t>建筑</w:t>
      </w:r>
      <w:r>
        <w:rPr>
          <w:rFonts w:eastAsia="仿宋_GB2312"/>
          <w:color w:val="000000"/>
          <w:sz w:val="32"/>
          <w:szCs w:val="32"/>
        </w:rPr>
        <w:t>面积不少于500平方米，</w:t>
      </w:r>
      <w:r>
        <w:rPr>
          <w:rFonts w:hint="eastAsia" w:eastAsia="仿宋_GB2312"/>
          <w:color w:val="000000"/>
          <w:sz w:val="32"/>
          <w:szCs w:val="32"/>
        </w:rPr>
        <w:t>具有完整的概念验证核心功能对应的科学仪器、设备及设施原</w:t>
      </w:r>
      <w:r>
        <w:rPr>
          <w:rFonts w:eastAsia="仿宋_GB2312"/>
          <w:color w:val="000000"/>
          <w:sz w:val="32"/>
          <w:szCs w:val="32"/>
        </w:rPr>
        <w:t>值不低于500万元。</w:t>
      </w:r>
    </w:p>
    <w:p w14:paraId="4A8B1DFF">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3.具有专业化服务团队。对项目提供验证与试制、尽职调查、项目评估、财务和法律咨询等专业化服务的人才不少于30人，其中专职服务人员不少于5人、专职技术经理人不少于2人；聘任</w:t>
      </w:r>
      <w:r>
        <w:rPr>
          <w:rFonts w:hint="eastAsia" w:eastAsia="仿宋_GB2312"/>
          <w:color w:val="000000"/>
          <w:sz w:val="32"/>
          <w:szCs w:val="32"/>
          <w:lang w:eastAsia="zh"/>
        </w:rPr>
        <w:t>概念验证中心</w:t>
      </w:r>
      <w:r>
        <w:rPr>
          <w:rFonts w:eastAsia="仿宋_GB2312"/>
          <w:color w:val="000000"/>
          <w:sz w:val="32"/>
          <w:szCs w:val="32"/>
        </w:rPr>
        <w:t>主任1名，熟悉概念验证、商业咨询、投融资、创业孵化等全链条科技成果转化流程。</w:t>
      </w:r>
    </w:p>
    <w:p w14:paraId="01B1E4B8">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4.建有学术界、产业界和投资界专家组成的概念验证服务顾问专家团队，总人数不少于10人，核心人员应具有匹配的专业知识，龙头企业、投融资机构等工作经历或丰富的创业孵化经验，负责对概念验证项目库入库项目进行遴选和评价。</w:t>
      </w:r>
    </w:p>
    <w:p w14:paraId="65BDC319">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5.建有概念验证项目清单，累计入库项目数量不少于40个，年度验证服务项目不少于20个，其中无隶属或关联的验证服务项目不少于10个</w:t>
      </w:r>
      <w:r>
        <w:rPr>
          <w:rFonts w:hint="eastAsia" w:eastAsia="仿宋_GB2312"/>
          <w:color w:val="000000"/>
          <w:sz w:val="32"/>
          <w:szCs w:val="32"/>
        </w:rPr>
        <w:t>，经第三方审计确认获得概念验证服务收入不少于5</w:t>
      </w:r>
      <w:r>
        <w:rPr>
          <w:rFonts w:eastAsia="仿宋_GB2312"/>
          <w:color w:val="000000"/>
          <w:sz w:val="32"/>
          <w:szCs w:val="32"/>
        </w:rPr>
        <w:t>0</w:t>
      </w:r>
      <w:r>
        <w:rPr>
          <w:rFonts w:hint="eastAsia" w:eastAsia="仿宋_GB2312"/>
          <w:color w:val="000000"/>
          <w:sz w:val="32"/>
          <w:szCs w:val="32"/>
        </w:rPr>
        <w:t>万元，</w:t>
      </w:r>
      <w:r>
        <w:rPr>
          <w:rFonts w:eastAsia="仿宋_GB2312"/>
          <w:color w:val="000000"/>
          <w:sz w:val="32"/>
          <w:szCs w:val="32"/>
        </w:rPr>
        <w:t>鼓励获得国家、省科技计划项目立项并通过验收的基础研究项目优先进入概念验证项目库。</w:t>
      </w:r>
    </w:p>
    <w:p w14:paraId="098A0AEA">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6.具备筹措资金的能力，配备自有或合作的概念验证资金</w:t>
      </w:r>
      <w:r>
        <w:rPr>
          <w:rFonts w:hint="eastAsia" w:eastAsia="仿宋_GB2312"/>
          <w:color w:val="000000"/>
          <w:sz w:val="32"/>
          <w:szCs w:val="32"/>
        </w:rPr>
        <w:t>。单独或合作设立科技成果转化基金，基金</w:t>
      </w:r>
      <w:r>
        <w:rPr>
          <w:rFonts w:eastAsia="仿宋_GB2312"/>
          <w:color w:val="000000"/>
          <w:sz w:val="32"/>
          <w:szCs w:val="32"/>
        </w:rPr>
        <w:t>规模不低于</w:t>
      </w:r>
      <w:r>
        <w:rPr>
          <w:rFonts w:hint="eastAsia" w:eastAsia="仿宋_GB2312"/>
          <w:color w:val="000000"/>
          <w:sz w:val="32"/>
          <w:szCs w:val="32"/>
        </w:rPr>
        <w:t>1</w:t>
      </w:r>
      <w:r>
        <w:rPr>
          <w:rFonts w:eastAsia="仿宋_GB2312"/>
          <w:color w:val="000000"/>
          <w:sz w:val="32"/>
          <w:szCs w:val="32"/>
        </w:rPr>
        <w:t>000万元人民币。</w:t>
      </w:r>
    </w:p>
    <w:p w14:paraId="465D2F16">
      <w:pPr>
        <w:adjustRightInd w:val="0"/>
        <w:snapToGrid w:val="0"/>
        <w:spacing w:line="580" w:lineRule="exact"/>
        <w:ind w:firstLine="640" w:firstLineChars="200"/>
        <w:rPr>
          <w:rFonts w:eastAsia="仿宋_GB2312"/>
          <w:color w:val="000000"/>
          <w:sz w:val="32"/>
          <w:szCs w:val="32"/>
        </w:rPr>
      </w:pPr>
      <w:r>
        <w:rPr>
          <w:rFonts w:eastAsia="仿宋_GB2312"/>
          <w:color w:val="000000"/>
          <w:sz w:val="32"/>
          <w:szCs w:val="32"/>
        </w:rPr>
        <w:t>7.需实现科技成果的样品化、产品化不少于20项，且落地转化（公司化、技术转让、技术许可、临床批件申报等）项目不少于20个。</w:t>
      </w:r>
      <w:r>
        <w:rPr>
          <w:rFonts w:hint="eastAsia" w:eastAsia="仿宋_GB2312"/>
          <w:color w:val="000000"/>
          <w:sz w:val="32"/>
          <w:szCs w:val="32"/>
        </w:rPr>
        <w:t>综合服务类</w:t>
      </w:r>
      <w:r>
        <w:rPr>
          <w:rFonts w:hint="eastAsia" w:eastAsia="仿宋_GB2312"/>
          <w:color w:val="000000"/>
          <w:sz w:val="32"/>
          <w:szCs w:val="32"/>
          <w:lang w:eastAsia="zh"/>
        </w:rPr>
        <w:t>概念验证中心</w:t>
      </w:r>
      <w:r>
        <w:rPr>
          <w:rFonts w:hint="eastAsia" w:eastAsia="仿宋_GB2312"/>
          <w:color w:val="000000"/>
          <w:sz w:val="32"/>
          <w:szCs w:val="32"/>
        </w:rPr>
        <w:t>，通过验证的项目</w:t>
      </w:r>
      <w:r>
        <w:rPr>
          <w:rFonts w:eastAsia="仿宋_GB2312"/>
          <w:color w:val="000000"/>
          <w:sz w:val="32"/>
          <w:szCs w:val="32"/>
        </w:rPr>
        <w:t>创办（孵化）科技型企业不少于5家且其获得股权融资额不低于2500万元或实现技术</w:t>
      </w:r>
      <w:r>
        <w:rPr>
          <w:rFonts w:hint="eastAsia" w:eastAsia="仿宋_GB2312"/>
          <w:color w:val="000000"/>
          <w:sz w:val="32"/>
          <w:szCs w:val="32"/>
        </w:rPr>
        <w:t>转让、技术许可</w:t>
      </w:r>
      <w:r>
        <w:rPr>
          <w:rFonts w:eastAsia="仿宋_GB2312"/>
          <w:color w:val="000000"/>
          <w:sz w:val="32"/>
          <w:szCs w:val="32"/>
        </w:rPr>
        <w:t>交易额不低于500万元。</w:t>
      </w:r>
    </w:p>
    <w:p w14:paraId="6B972052">
      <w:pPr>
        <w:adjustRightInd w:val="0"/>
        <w:snapToGrid w:val="0"/>
        <w:spacing w:line="580" w:lineRule="exact"/>
        <w:ind w:firstLine="640" w:firstLineChars="200"/>
        <w:rPr>
          <w:rFonts w:hint="eastAsia" w:eastAsia="仿宋_GB2312"/>
          <w:color w:val="000000"/>
          <w:sz w:val="32"/>
          <w:szCs w:val="32"/>
        </w:rPr>
      </w:pPr>
      <w:r>
        <w:rPr>
          <w:rFonts w:eastAsia="仿宋_GB2312"/>
          <w:color w:val="000000"/>
          <w:sz w:val="32"/>
          <w:szCs w:val="32"/>
        </w:rPr>
        <w:t>8.具有</w:t>
      </w:r>
      <w:r>
        <w:rPr>
          <w:rFonts w:hint="eastAsia" w:eastAsia="仿宋_GB2312"/>
          <w:color w:val="000000"/>
          <w:sz w:val="32"/>
          <w:szCs w:val="32"/>
        </w:rPr>
        <w:t>健全的组织架构和运行管理制度，形成</w:t>
      </w:r>
      <w:r>
        <w:rPr>
          <w:rFonts w:eastAsia="仿宋_GB2312"/>
          <w:color w:val="000000"/>
          <w:sz w:val="32"/>
          <w:szCs w:val="32"/>
        </w:rPr>
        <w:t>规范的概念验证服务流程及商业模式，</w:t>
      </w:r>
      <w:r>
        <w:rPr>
          <w:rFonts w:hint="eastAsia" w:eastAsia="仿宋_GB2312"/>
          <w:color w:val="000000"/>
          <w:sz w:val="32"/>
          <w:szCs w:val="32"/>
        </w:rPr>
        <w:t>建有完善的</w:t>
      </w:r>
      <w:r>
        <w:rPr>
          <w:rFonts w:eastAsia="仿宋_GB2312"/>
          <w:color w:val="000000"/>
          <w:sz w:val="32"/>
          <w:szCs w:val="32"/>
        </w:rPr>
        <w:t>知识产权和商业秘密保护制度。符合国家环保、消防、安全生产等要求</w:t>
      </w:r>
      <w:r>
        <w:rPr>
          <w:rFonts w:hint="eastAsia" w:eastAsia="仿宋_GB2312"/>
          <w:color w:val="000000"/>
          <w:sz w:val="32"/>
          <w:szCs w:val="32"/>
        </w:rPr>
        <w:t>，强化科技保密、科研诚信、科技伦理管理</w:t>
      </w:r>
      <w:r>
        <w:rPr>
          <w:rFonts w:eastAsia="仿宋_GB2312"/>
          <w:color w:val="000000"/>
          <w:sz w:val="32"/>
          <w:szCs w:val="32"/>
        </w:rPr>
        <w:t>，近三年内未发生司法、行政机关认定的严重违法失信行为</w:t>
      </w:r>
      <w:r>
        <w:rPr>
          <w:rFonts w:hint="eastAsia" w:eastAsia="仿宋_GB2312"/>
          <w:color w:val="000000"/>
          <w:sz w:val="32"/>
          <w:szCs w:val="32"/>
        </w:rPr>
        <w:t>。</w:t>
      </w:r>
    </w:p>
    <w:p w14:paraId="7973C461">
      <w:pPr>
        <w:adjustRightInd w:val="0"/>
        <w:snapToGrid w:val="0"/>
        <w:spacing w:line="580" w:lineRule="exact"/>
        <w:ind w:firstLine="640" w:firstLineChars="200"/>
        <w:rPr>
          <w:rFonts w:hint="eastAsia" w:ascii="Calibri" w:hAnsi="Calibri" w:eastAsia="仿宋_GB2312"/>
        </w:rPr>
      </w:pPr>
      <w:r>
        <w:rPr>
          <w:rFonts w:hint="eastAsia" w:eastAsia="仿宋_GB2312"/>
          <w:color w:val="000000"/>
          <w:sz w:val="32"/>
          <w:szCs w:val="32"/>
        </w:rPr>
        <w:t>根据不同的行业领域、建设主体、服务内容，服务重点可有所侧重，并相应调整创建标准。</w:t>
      </w:r>
    </w:p>
    <w:p w14:paraId="200330C8">
      <w:pPr>
        <w:adjustRightInd w:val="0"/>
        <w:snapToGrid w:val="0"/>
        <w:spacing w:line="580" w:lineRule="exact"/>
        <w:ind w:firstLine="640" w:firstLineChars="200"/>
        <w:rPr>
          <w:rFonts w:eastAsia="黑体"/>
          <w:color w:val="000000"/>
          <w:sz w:val="32"/>
          <w:szCs w:val="32"/>
        </w:rPr>
      </w:pPr>
      <w:r>
        <w:rPr>
          <w:rFonts w:eastAsia="黑体"/>
          <w:color w:val="000000"/>
          <w:sz w:val="32"/>
          <w:szCs w:val="32"/>
        </w:rPr>
        <w:t>三、认定程序</w:t>
      </w:r>
    </w:p>
    <w:p w14:paraId="54274120">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（一）自主申报。</w:t>
      </w:r>
      <w:r>
        <w:rPr>
          <w:rFonts w:eastAsia="仿宋_GB2312"/>
          <w:color w:val="000000"/>
          <w:sz w:val="32"/>
          <w:szCs w:val="32"/>
        </w:rPr>
        <w:t>建设主体向所在设区市科技局提出认定申请，提交相应申报材料。</w:t>
      </w:r>
      <w:r>
        <w:rPr>
          <w:rFonts w:hint="eastAsia" w:eastAsia="仿宋_GB2312"/>
          <w:color w:val="000000"/>
          <w:sz w:val="32"/>
          <w:szCs w:val="32"/>
        </w:rPr>
        <w:t>申报</w:t>
      </w:r>
      <w:r>
        <w:rPr>
          <w:rFonts w:eastAsia="仿宋_GB2312"/>
          <w:color w:val="000000"/>
          <w:sz w:val="32"/>
          <w:szCs w:val="32"/>
        </w:rPr>
        <w:t>实行诚信承诺制，建设主体需提交诚信承诺书，承诺提交的材料真实、有效、完整，符合相关要求，并承担相应责任。</w:t>
      </w:r>
    </w:p>
    <w:p w14:paraId="352D3D21">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（二）审核推荐。</w:t>
      </w:r>
      <w:r>
        <w:rPr>
          <w:rFonts w:eastAsia="仿宋_GB2312"/>
          <w:color w:val="000000"/>
          <w:sz w:val="32"/>
          <w:szCs w:val="32"/>
        </w:rPr>
        <w:t>各设区市科技局对建设主体运营状态、信用等情况以及申报材料的真实性、有效性进行审核，必要时进行现场考察，按程序向</w:t>
      </w:r>
      <w:r>
        <w:rPr>
          <w:rFonts w:hint="eastAsia" w:eastAsia="仿宋_GB2312"/>
          <w:color w:val="000000"/>
          <w:sz w:val="32"/>
          <w:szCs w:val="32"/>
        </w:rPr>
        <w:t>省科技厅</w:t>
      </w:r>
      <w:r>
        <w:rPr>
          <w:rFonts w:eastAsia="仿宋_GB2312"/>
          <w:color w:val="000000"/>
          <w:sz w:val="32"/>
          <w:szCs w:val="32"/>
        </w:rPr>
        <w:t>提交推荐建议名单。</w:t>
      </w:r>
    </w:p>
    <w:p w14:paraId="2AE136EA">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（三）组织评审。</w:t>
      </w:r>
      <w:r>
        <w:rPr>
          <w:rFonts w:eastAsia="仿宋_GB2312"/>
          <w:color w:val="000000"/>
          <w:sz w:val="32"/>
          <w:szCs w:val="32"/>
        </w:rPr>
        <w:t>省科技厅组织专家或委托第三方机构，对申报主体进行综合评审，提出认定建议名单。</w:t>
      </w:r>
    </w:p>
    <w:p w14:paraId="6C42992D">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（四）公示发文。</w:t>
      </w:r>
      <w:r>
        <w:rPr>
          <w:rFonts w:eastAsia="仿宋_GB2312"/>
          <w:color w:val="000000"/>
          <w:sz w:val="32"/>
          <w:szCs w:val="32"/>
        </w:rPr>
        <w:t>认定建议名单由省科技厅</w:t>
      </w:r>
      <w:r>
        <w:rPr>
          <w:rFonts w:hint="eastAsia" w:eastAsia="仿宋_GB2312"/>
          <w:color w:val="000000"/>
          <w:sz w:val="32"/>
          <w:szCs w:val="32"/>
        </w:rPr>
        <w:t>报</w:t>
      </w:r>
      <w:r>
        <w:rPr>
          <w:rFonts w:eastAsia="仿宋_GB2312"/>
          <w:color w:val="000000"/>
          <w:sz w:val="32"/>
          <w:szCs w:val="32"/>
        </w:rPr>
        <w:t>省委科技办审定</w:t>
      </w:r>
      <w:r>
        <w:rPr>
          <w:rFonts w:hint="eastAsia" w:eastAsia="仿宋_GB2312"/>
          <w:color w:val="000000"/>
          <w:sz w:val="32"/>
          <w:szCs w:val="32"/>
        </w:rPr>
        <w:t>后</w:t>
      </w:r>
      <w:r>
        <w:rPr>
          <w:rFonts w:eastAsia="仿宋_GB2312"/>
          <w:color w:val="000000"/>
          <w:sz w:val="32"/>
          <w:szCs w:val="32"/>
        </w:rPr>
        <w:t>予以公示，公示期为5个工作日。公示无异议后，由省科技厅发文公布，统一命名为“浙江省（XX产业领域或技术方向）</w:t>
      </w:r>
      <w:r>
        <w:rPr>
          <w:rFonts w:hint="eastAsia" w:eastAsia="仿宋_GB2312"/>
          <w:color w:val="000000"/>
          <w:sz w:val="32"/>
          <w:szCs w:val="32"/>
          <w:lang w:eastAsia="zh"/>
        </w:rPr>
        <w:t>概念验证中心</w:t>
      </w:r>
      <w:r>
        <w:rPr>
          <w:rFonts w:eastAsia="仿宋_GB2312"/>
          <w:color w:val="000000"/>
          <w:sz w:val="32"/>
          <w:szCs w:val="32"/>
        </w:rPr>
        <w:t>”，建设期限为3年。</w:t>
      </w:r>
    </w:p>
    <w:p w14:paraId="0612853A">
      <w:pPr>
        <w:adjustRightInd w:val="0"/>
        <w:snapToGrid w:val="0"/>
        <w:spacing w:line="580" w:lineRule="exact"/>
        <w:ind w:firstLine="640" w:firstLineChars="200"/>
        <w:rPr>
          <w:rFonts w:eastAsia="黑体"/>
          <w:color w:val="000000"/>
          <w:sz w:val="32"/>
          <w:szCs w:val="32"/>
        </w:rPr>
      </w:pPr>
      <w:r>
        <w:rPr>
          <w:rFonts w:eastAsia="黑体"/>
          <w:color w:val="000000"/>
          <w:sz w:val="32"/>
          <w:szCs w:val="32"/>
        </w:rPr>
        <w:t>四、管理评价</w:t>
      </w:r>
    </w:p>
    <w:p w14:paraId="48697721">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（一）</w:t>
      </w:r>
      <w:r>
        <w:rPr>
          <w:rFonts w:hint="eastAsia" w:eastAsia="楷体_GB2312"/>
          <w:b/>
          <w:bCs/>
          <w:color w:val="000000"/>
          <w:kern w:val="0"/>
          <w:sz w:val="32"/>
          <w:szCs w:val="32"/>
        </w:rPr>
        <w:t>强化主体责任</w:t>
      </w:r>
      <w:r>
        <w:rPr>
          <w:rFonts w:eastAsia="楷体_GB2312"/>
          <w:b/>
          <w:bCs/>
          <w:color w:val="000000"/>
          <w:kern w:val="0"/>
          <w:sz w:val="32"/>
          <w:szCs w:val="32"/>
        </w:rPr>
        <w:t>。</w:t>
      </w:r>
      <w:r>
        <w:rPr>
          <w:rFonts w:eastAsia="仿宋_GB2312"/>
          <w:color w:val="000000"/>
          <w:sz w:val="32"/>
          <w:szCs w:val="32"/>
        </w:rPr>
        <w:t>建设主体负责</w:t>
      </w:r>
      <w:r>
        <w:rPr>
          <w:rFonts w:hint="eastAsia" w:eastAsia="仿宋_GB2312"/>
          <w:color w:val="000000"/>
          <w:sz w:val="32"/>
          <w:szCs w:val="32"/>
        </w:rPr>
        <w:t>编制</w:t>
      </w:r>
      <w:r>
        <w:rPr>
          <w:rFonts w:hint="eastAsia" w:eastAsia="仿宋_GB2312"/>
          <w:color w:val="000000"/>
          <w:sz w:val="32"/>
          <w:szCs w:val="32"/>
          <w:lang w:eastAsia="zh"/>
        </w:rPr>
        <w:t>概念验证中心</w:t>
      </w:r>
      <w:r>
        <w:rPr>
          <w:rFonts w:eastAsia="仿宋_GB2312"/>
          <w:color w:val="000000"/>
          <w:sz w:val="32"/>
          <w:szCs w:val="32"/>
        </w:rPr>
        <w:t>建设方案，建立健全组织架构和运行机制，保障相关资源条件，支撑</w:t>
      </w:r>
      <w:r>
        <w:rPr>
          <w:rFonts w:hint="eastAsia" w:eastAsia="仿宋_GB2312"/>
          <w:color w:val="000000"/>
          <w:sz w:val="32"/>
          <w:szCs w:val="32"/>
          <w:lang w:eastAsia="zh"/>
        </w:rPr>
        <w:t>概念验证中心</w:t>
      </w:r>
      <w:r>
        <w:rPr>
          <w:rFonts w:eastAsia="仿宋_GB2312"/>
          <w:color w:val="000000"/>
          <w:sz w:val="32"/>
          <w:szCs w:val="32"/>
        </w:rPr>
        <w:t>高质量发展，配合开展定期报告和绩效评价，承担建设、运营、财务、法务、安全、环保、保密等的主体责任。由多家单位联合组建的</w:t>
      </w:r>
      <w:r>
        <w:rPr>
          <w:rFonts w:hint="eastAsia" w:eastAsia="仿宋_GB2312"/>
          <w:color w:val="000000"/>
          <w:sz w:val="32"/>
          <w:szCs w:val="32"/>
          <w:lang w:eastAsia="zh"/>
        </w:rPr>
        <w:t>概念验证中心</w:t>
      </w:r>
      <w:r>
        <w:rPr>
          <w:rFonts w:eastAsia="仿宋_GB2312"/>
          <w:color w:val="000000"/>
          <w:sz w:val="32"/>
          <w:szCs w:val="32"/>
        </w:rPr>
        <w:t>应当明确牵头单位，并签定合作协议。</w:t>
      </w:r>
    </w:p>
    <w:p w14:paraId="0A5A9397">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（二）</w:t>
      </w:r>
      <w:r>
        <w:rPr>
          <w:rFonts w:hint="eastAsia" w:eastAsia="楷体_GB2312"/>
          <w:b/>
          <w:bCs/>
          <w:color w:val="000000"/>
          <w:kern w:val="0"/>
          <w:sz w:val="32"/>
          <w:szCs w:val="32"/>
        </w:rPr>
        <w:t>强化过程管理</w:t>
      </w:r>
      <w:r>
        <w:rPr>
          <w:rFonts w:eastAsia="楷体_GB2312"/>
          <w:b/>
          <w:bCs/>
          <w:color w:val="000000"/>
          <w:kern w:val="0"/>
          <w:sz w:val="32"/>
          <w:szCs w:val="32"/>
        </w:rPr>
        <w:t>。</w:t>
      </w:r>
      <w:r>
        <w:rPr>
          <w:rFonts w:hint="eastAsia" w:eastAsia="仿宋_GB2312"/>
          <w:color w:val="000000"/>
          <w:sz w:val="32"/>
          <w:szCs w:val="32"/>
        </w:rPr>
        <w:t>建立</w:t>
      </w:r>
      <w:r>
        <w:rPr>
          <w:rFonts w:hint="eastAsia" w:eastAsia="仿宋_GB2312"/>
          <w:color w:val="000000"/>
          <w:sz w:val="32"/>
          <w:szCs w:val="32"/>
          <w:lang w:eastAsia="zh"/>
        </w:rPr>
        <w:t>概念验证中心</w:t>
      </w:r>
      <w:r>
        <w:rPr>
          <w:rFonts w:hint="eastAsia" w:eastAsia="仿宋_GB2312"/>
          <w:color w:val="000000"/>
          <w:sz w:val="32"/>
          <w:szCs w:val="32"/>
        </w:rPr>
        <w:t>动态数据监测和定期</w:t>
      </w:r>
      <w:r>
        <w:rPr>
          <w:rFonts w:eastAsia="仿宋_GB2312"/>
          <w:color w:val="000000"/>
          <w:sz w:val="32"/>
          <w:szCs w:val="32"/>
        </w:rPr>
        <w:t>报告制度。建设主体应按要求编制并报送年度考核报告和下一年度工作计划。发生与认定条件有关的重大变化（如分立、合并、重组以及经营业务发生变化等），应在三个月内向所在地科技主管部门报告</w:t>
      </w:r>
      <w:r>
        <w:rPr>
          <w:rFonts w:hint="eastAsia" w:eastAsia="仿宋_GB2312"/>
          <w:color w:val="000000"/>
          <w:sz w:val="32"/>
          <w:szCs w:val="32"/>
        </w:rPr>
        <w:t>，如</w:t>
      </w:r>
      <w:r>
        <w:rPr>
          <w:rFonts w:eastAsia="仿宋_GB2312"/>
          <w:color w:val="000000"/>
          <w:sz w:val="32"/>
          <w:szCs w:val="32"/>
        </w:rPr>
        <w:t>不再符合认定条件的，自条件变化年度起取消其认定资格。</w:t>
      </w:r>
    </w:p>
    <w:p w14:paraId="1854AA11">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（三）</w:t>
      </w:r>
      <w:r>
        <w:rPr>
          <w:rFonts w:hint="eastAsia" w:eastAsia="楷体_GB2312"/>
          <w:b/>
          <w:bCs/>
          <w:color w:val="000000"/>
          <w:kern w:val="0"/>
          <w:sz w:val="32"/>
          <w:szCs w:val="32"/>
        </w:rPr>
        <w:t>强化绩效评价</w:t>
      </w:r>
      <w:r>
        <w:rPr>
          <w:rFonts w:eastAsia="楷体_GB2312"/>
          <w:b/>
          <w:bCs/>
          <w:color w:val="000000"/>
          <w:kern w:val="0"/>
          <w:sz w:val="32"/>
          <w:szCs w:val="32"/>
        </w:rPr>
        <w:t>。</w:t>
      </w:r>
      <w:r>
        <w:rPr>
          <w:rFonts w:eastAsia="仿宋_GB2312"/>
          <w:color w:val="000000"/>
          <w:sz w:val="32"/>
          <w:szCs w:val="32"/>
        </w:rPr>
        <w:t>省科技厅组织第三方机构对省级</w:t>
      </w:r>
      <w:r>
        <w:rPr>
          <w:rFonts w:hint="eastAsia" w:eastAsia="仿宋_GB2312"/>
          <w:color w:val="000000"/>
          <w:sz w:val="32"/>
          <w:szCs w:val="32"/>
          <w:lang w:eastAsia="zh"/>
        </w:rPr>
        <w:t>概念验证中心</w:t>
      </w:r>
      <w:r>
        <w:rPr>
          <w:rFonts w:eastAsia="仿宋_GB2312"/>
          <w:color w:val="000000"/>
          <w:sz w:val="32"/>
          <w:szCs w:val="32"/>
        </w:rPr>
        <w:t>进行绩效评价，实行优胜劣汰、动态调整的运行评价机制。对其条件建设、成果转化、开放共享、行业带动、产学研合作、人才队伍建设、经济社会效益等情况实施年度绩效评价，</w:t>
      </w:r>
      <w:r>
        <w:rPr>
          <w:rFonts w:hint="eastAsia" w:eastAsia="仿宋_GB2312"/>
          <w:color w:val="000000"/>
          <w:sz w:val="32"/>
          <w:szCs w:val="32"/>
        </w:rPr>
        <w:t>评价</w:t>
      </w:r>
      <w:r>
        <w:rPr>
          <w:rFonts w:eastAsia="仿宋_GB2312"/>
          <w:color w:val="000000"/>
          <w:sz w:val="32"/>
          <w:szCs w:val="32"/>
        </w:rPr>
        <w:t>结果作为经费支持的重要依据。评价结果分为“优秀、合格、不合格”。对评价结果为不合格的省级</w:t>
      </w:r>
      <w:r>
        <w:rPr>
          <w:rFonts w:hint="eastAsia" w:eastAsia="仿宋_GB2312"/>
          <w:color w:val="000000"/>
          <w:sz w:val="32"/>
          <w:szCs w:val="32"/>
          <w:lang w:eastAsia="zh"/>
        </w:rPr>
        <w:t>概念验证中心</w:t>
      </w:r>
      <w:r>
        <w:rPr>
          <w:rFonts w:eastAsia="仿宋_GB2312"/>
          <w:color w:val="000000"/>
          <w:sz w:val="32"/>
          <w:szCs w:val="32"/>
        </w:rPr>
        <w:t>，限期整改</w:t>
      </w:r>
      <w:r>
        <w:rPr>
          <w:rFonts w:hint="eastAsia" w:eastAsia="仿宋_GB2312"/>
          <w:color w:val="000000"/>
          <w:sz w:val="32"/>
          <w:szCs w:val="32"/>
        </w:rPr>
        <w:t>，整改不通过的予以摘牌</w:t>
      </w:r>
      <w:r>
        <w:rPr>
          <w:rFonts w:eastAsia="仿宋_GB2312"/>
          <w:color w:val="000000"/>
          <w:sz w:val="32"/>
          <w:szCs w:val="32"/>
        </w:rPr>
        <w:t>。</w:t>
      </w:r>
    </w:p>
    <w:p w14:paraId="579D2F16">
      <w:pPr>
        <w:adjustRightInd w:val="0"/>
        <w:snapToGrid w:val="0"/>
        <w:spacing w:line="580" w:lineRule="exact"/>
        <w:ind w:firstLine="643" w:firstLineChars="200"/>
        <w:rPr>
          <w:rFonts w:eastAsia="仿宋_GB2312"/>
          <w:color w:val="000000"/>
          <w:sz w:val="32"/>
          <w:szCs w:val="32"/>
        </w:rPr>
      </w:pPr>
      <w:r>
        <w:rPr>
          <w:rFonts w:eastAsia="楷体_GB2312"/>
          <w:b/>
          <w:bCs/>
          <w:color w:val="000000"/>
          <w:kern w:val="0"/>
          <w:sz w:val="32"/>
          <w:szCs w:val="32"/>
        </w:rPr>
        <w:t>（四）</w:t>
      </w:r>
      <w:r>
        <w:rPr>
          <w:rFonts w:hint="eastAsia" w:eastAsia="楷体_GB2312"/>
          <w:b/>
          <w:bCs/>
          <w:color w:val="000000"/>
          <w:kern w:val="0"/>
          <w:sz w:val="32"/>
          <w:szCs w:val="32"/>
        </w:rPr>
        <w:t>强化</w:t>
      </w:r>
      <w:r>
        <w:rPr>
          <w:rFonts w:eastAsia="楷体_GB2312"/>
          <w:b/>
          <w:bCs/>
          <w:color w:val="000000"/>
          <w:kern w:val="0"/>
          <w:sz w:val="32"/>
          <w:szCs w:val="32"/>
        </w:rPr>
        <w:t>诚信监督。</w:t>
      </w:r>
      <w:r>
        <w:rPr>
          <w:rFonts w:eastAsia="仿宋_GB2312"/>
          <w:color w:val="000000"/>
          <w:sz w:val="32"/>
          <w:szCs w:val="32"/>
        </w:rPr>
        <w:t>建设主体承担科研作风学风、科研诚信和伦理的主体责任。</w:t>
      </w:r>
      <w:r>
        <w:rPr>
          <w:rFonts w:eastAsia="仿宋_GB2312"/>
          <w:bCs/>
          <w:color w:val="000000"/>
          <w:sz w:val="32"/>
          <w:szCs w:val="32"/>
        </w:rPr>
        <w:t>针对在</w:t>
      </w:r>
      <w:r>
        <w:rPr>
          <w:rFonts w:eastAsia="仿宋_GB2312"/>
          <w:color w:val="000000"/>
          <w:sz w:val="32"/>
          <w:szCs w:val="32"/>
        </w:rPr>
        <w:t>申请过程中存在严重弄虚作假行为，或发生重大安全、重大质量事故或严重环境违法行为，或发生严重科研失信行为的情形，取消其省级</w:t>
      </w:r>
      <w:r>
        <w:rPr>
          <w:rFonts w:hint="eastAsia" w:eastAsia="仿宋_GB2312"/>
          <w:color w:val="000000"/>
          <w:sz w:val="32"/>
          <w:szCs w:val="32"/>
          <w:lang w:eastAsia="zh"/>
        </w:rPr>
        <w:t>概念验证中心</w:t>
      </w:r>
      <w:r>
        <w:rPr>
          <w:rFonts w:eastAsia="仿宋_GB2312"/>
          <w:color w:val="000000"/>
          <w:sz w:val="32"/>
          <w:szCs w:val="32"/>
        </w:rPr>
        <w:t>资格，且两年内不得重新申报认定。</w:t>
      </w:r>
    </w:p>
    <w:p w14:paraId="7AE60754">
      <w:pPr>
        <w:pStyle w:val="8"/>
        <w:rPr>
          <w:rFonts w:eastAsia="楷体_GB2312"/>
          <w:color w:val="000000"/>
          <w:szCs w:val="32"/>
        </w:rPr>
      </w:pPr>
    </w:p>
    <w:p w14:paraId="0A0D1E65">
      <w:pPr>
        <w:pStyle w:val="8"/>
      </w:pPr>
    </w:p>
    <w:p w14:paraId="1358A3D0"/>
    <w:p w14:paraId="1C277235">
      <w:pPr>
        <w:spacing w:line="400" w:lineRule="exact"/>
      </w:pPr>
      <w:r>
        <w:rPr>
          <w:rFonts w:eastAsia="仿宋_GB2312"/>
          <w:sz w:val="32"/>
          <w:szCs w:val="32"/>
        </w:rPr>
        <w:t>　</w:t>
      </w:r>
    </w:p>
    <w:p w14:paraId="6840FEE3">
      <w:pPr>
        <w:spacing w:line="600" w:lineRule="exact"/>
        <w:rPr>
          <w:rFonts w:eastAsia="仿宋_GB2312"/>
        </w:rPr>
      </w:pPr>
    </w:p>
    <w:p w14:paraId="2A95348A"/>
    <w:sectPr>
      <w:footerReference r:id="rId3" w:type="default"/>
      <w:footerReference r:id="rId4" w:type="even"/>
      <w:pgSz w:w="11906" w:h="16838"/>
      <w:pgMar w:top="2098" w:right="1474" w:bottom="1440" w:left="158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2F767">
    <w:pPr>
      <w:pStyle w:val="4"/>
      <w:jc w:val="right"/>
    </w:pPr>
    <w:r>
      <w:rPr>
        <w:rStyle w:val="7"/>
        <w:rFonts w:hint="eastAsia" w:ascii="宋体"/>
        <w:sz w:val="28"/>
        <w:szCs w:val="28"/>
      </w:rPr>
      <w:t>－</w:t>
    </w:r>
    <w:r>
      <w:rPr>
        <w:rStyle w:val="7"/>
        <w:rFonts w:ascii="宋体"/>
        <w:sz w:val="28"/>
        <w:szCs w:val="28"/>
      </w:rPr>
      <w:t xml:space="preserve"> </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15</w:t>
    </w:r>
    <w:r>
      <w:rPr>
        <w:rStyle w:val="7"/>
        <w:rFonts w:ascii="宋体"/>
        <w:sz w:val="28"/>
        <w:szCs w:val="28"/>
      </w:rPr>
      <w:fldChar w:fldCharType="end"/>
    </w:r>
    <w:r>
      <w:rPr>
        <w:rStyle w:val="7"/>
        <w:rFonts w:ascii="宋体"/>
        <w:sz w:val="28"/>
        <w:szCs w:val="28"/>
      </w:rPr>
      <w:t xml:space="preserve"> </w:t>
    </w:r>
    <w:r>
      <w:rPr>
        <w:rStyle w:val="7"/>
        <w:rFonts w:hint="eastAsia" w:asci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3570">
    <w:pPr>
      <w:pStyle w:val="4"/>
    </w:pPr>
    <w:r>
      <w:rPr>
        <w:rStyle w:val="7"/>
        <w:rFonts w:hint="eastAsia" w:ascii="宋体"/>
        <w:sz w:val="28"/>
        <w:szCs w:val="28"/>
      </w:rPr>
      <w:t>－</w:t>
    </w:r>
    <w:r>
      <w:rPr>
        <w:rStyle w:val="7"/>
        <w:rFonts w:ascii="宋体"/>
        <w:sz w:val="28"/>
        <w:szCs w:val="28"/>
      </w:rPr>
      <w:t xml:space="preserve"> </w:t>
    </w:r>
    <w:r>
      <w:rPr>
        <w:rStyle w:val="7"/>
        <w:rFonts w:ascii="宋体"/>
        <w:sz w:val="28"/>
        <w:szCs w:val="28"/>
      </w:rPr>
      <w:fldChar w:fldCharType="begin"/>
    </w:r>
    <w:r>
      <w:rPr>
        <w:rStyle w:val="7"/>
        <w:rFonts w:ascii="宋体"/>
        <w:sz w:val="28"/>
        <w:szCs w:val="28"/>
      </w:rPr>
      <w:instrText xml:space="preserve">PAGE  </w:instrText>
    </w:r>
    <w:r>
      <w:rPr>
        <w:rStyle w:val="7"/>
        <w:rFonts w:ascii="宋体"/>
        <w:sz w:val="28"/>
        <w:szCs w:val="28"/>
      </w:rPr>
      <w:fldChar w:fldCharType="separate"/>
    </w:r>
    <w:r>
      <w:rPr>
        <w:rStyle w:val="7"/>
        <w:rFonts w:ascii="宋体"/>
        <w:sz w:val="28"/>
        <w:szCs w:val="28"/>
      </w:rPr>
      <w:t>14</w:t>
    </w:r>
    <w:r>
      <w:rPr>
        <w:rStyle w:val="7"/>
        <w:rFonts w:ascii="宋体"/>
        <w:sz w:val="28"/>
        <w:szCs w:val="28"/>
      </w:rPr>
      <w:fldChar w:fldCharType="end"/>
    </w:r>
    <w:r>
      <w:rPr>
        <w:rStyle w:val="7"/>
        <w:rFonts w:ascii="宋体"/>
        <w:sz w:val="28"/>
        <w:szCs w:val="28"/>
      </w:rPr>
      <w:t xml:space="preserve"> </w:t>
    </w:r>
    <w:r>
      <w:rPr>
        <w:rStyle w:val="7"/>
        <w:rFonts w:hint="eastAsia" w:asci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D4623"/>
    <w:rsid w:val="072D4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ind w:firstLine="420" w:firstLineChars="100"/>
    </w:pPr>
  </w:style>
  <w:style w:type="paragraph" w:styleId="3">
    <w:name w:val="Body Text"/>
    <w:basedOn w:val="1"/>
    <w:next w:val="2"/>
    <w:unhideWhenUsed/>
    <w:qFormat/>
    <w:uiPriority w:val="99"/>
    <w:pPr>
      <w:spacing w:after="120"/>
    </w:pPr>
  </w:style>
  <w:style w:type="paragraph" w:styleId="4">
    <w:name w:val="footer"/>
    <w:basedOn w:val="1"/>
    <w:unhideWhenUsed/>
    <w:uiPriority w:val="99"/>
    <w:pPr>
      <w:tabs>
        <w:tab w:val="center" w:pos="4153"/>
        <w:tab w:val="right" w:pos="8306"/>
      </w:tabs>
      <w:snapToGrid w:val="0"/>
      <w:jc w:val="left"/>
    </w:pPr>
    <w:rPr>
      <w:sz w:val="18"/>
      <w:szCs w:val="18"/>
    </w:rPr>
  </w:style>
  <w:style w:type="character" w:styleId="7">
    <w:name w:val="page number"/>
    <w:uiPriority w:val="0"/>
  </w:style>
  <w:style w:type="paragraph" w:customStyle="1" w:styleId="8">
    <w:name w:val="EndnoteText"/>
    <w:qFormat/>
    <w:uiPriority w:val="0"/>
    <w:pPr>
      <w:widowControl w:val="0"/>
      <w:spacing w:line="560" w:lineRule="exact"/>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2025-04-28T08:19:00Z</dcterms:created>
  <dc:creator>rcs</dc:creator>
  <cp:lastModifiedBy>rcs</cp:lastModifiedBy>
  <dcterms:modified xsi:type="dcterms:W3CDTF">2025-04-28T08:20:23Z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A64DA7A908984870B38F2A2D86D617CE_11</vt:lpwstr>
  </property>
  <property fmtid="{D5CDD505-2E9C-101B-9397-08002B2CF9AE}" pid="4" name="KSOTemplateDocerSaveRecord">
    <vt:lpwstr>eyJoZGlkIjoiYTAzMWYwODk5ZjZkNjRjMzliNTlmOTk3YzY0NmY0OWQiLCJ1c2VySWQiOiIyMzM2MTEzMDAifQ==</vt:lpwstr>
  </property>
</Properties>
</file>