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6256E">
      <w:pPr>
        <w:pStyle w:val="8"/>
        <w:keepNext w:val="0"/>
        <w:keepLines w:val="0"/>
        <w:pageBreakBefore w:val="0"/>
        <w:shd w:val="clear"/>
        <w:kinsoku/>
        <w:wordWrap/>
        <w:overflowPunct/>
        <w:topLinePunct w:val="0"/>
        <w:autoSpaceDE/>
        <w:autoSpaceDN/>
        <w:bidi w:val="0"/>
        <w:adjustRightInd/>
        <w:snapToGrid/>
        <w:spacing w:after="156" w:afterLines="50" w:line="588" w:lineRule="exact"/>
        <w:textAlignment w:val="auto"/>
        <w:rPr>
          <w:rFonts w:hint="eastAsia" w:ascii="Times New Roman" w:hAnsi="Times New Roman"/>
          <w:color w:val="000000" w:themeColor="text1"/>
          <w:sz w:val="40"/>
          <w:szCs w:val="40"/>
          <w:lang w:eastAsia="zh-CN"/>
          <w14:textFill>
            <w14:solidFill>
              <w14:schemeClr w14:val="tx1"/>
            </w14:solidFill>
          </w14:textFill>
        </w:rPr>
      </w:pPr>
      <w:bookmarkStart w:id="2" w:name="_GoBack"/>
      <w:bookmarkEnd w:id="2"/>
      <w:r>
        <w:rPr>
          <w:rFonts w:hint="eastAsia" w:ascii="Times New Roman" w:hAnsi="Times New Roman"/>
          <w:color w:val="000000" w:themeColor="text1"/>
          <w:sz w:val="40"/>
          <w:szCs w:val="40"/>
          <w14:textFill>
            <w14:solidFill>
              <w14:schemeClr w14:val="tx1"/>
            </w14:solidFill>
          </w14:textFill>
        </w:rPr>
        <w:t>企业技术中心管理办法</w:t>
      </w:r>
      <w:r>
        <w:rPr>
          <w:rFonts w:hint="eastAsia" w:ascii="Times New Roman" w:hAnsi="Times New Roman"/>
          <w:color w:val="000000" w:themeColor="text1"/>
          <w:sz w:val="40"/>
          <w:szCs w:val="40"/>
          <w:lang w:eastAsia="zh-CN"/>
          <w14:textFill>
            <w14:solidFill>
              <w14:schemeClr w14:val="tx1"/>
            </w14:solidFill>
          </w14:textFill>
        </w:rPr>
        <w:t>（试行）</w:t>
      </w:r>
    </w:p>
    <w:p w14:paraId="55416678">
      <w:pPr>
        <w:jc w:val="center"/>
        <w:rPr>
          <w:rFonts w:hint="eastAsia" w:ascii="方正楷体_GBK" w:hAnsi="方正楷体_GBK" w:eastAsia="方正楷体_GBK" w:cs="方正楷体_GBK"/>
          <w:sz w:val="30"/>
          <w:szCs w:val="30"/>
          <w:lang w:val="en" w:eastAsia="zh"/>
        </w:rPr>
      </w:pPr>
      <w:r>
        <w:rPr>
          <w:rFonts w:hint="eastAsia" w:ascii="方正楷体_GBK" w:hAnsi="方正楷体_GBK" w:eastAsia="方正楷体_GBK" w:cs="方正楷体_GBK"/>
          <w:sz w:val="30"/>
          <w:szCs w:val="30"/>
          <w:lang w:val="en" w:eastAsia="zh"/>
        </w:rPr>
        <w:t>（征求意见稿）</w:t>
      </w:r>
    </w:p>
    <w:p w14:paraId="2DD4932F">
      <w:pPr>
        <w:keepNext w:val="0"/>
        <w:keepLines w:val="0"/>
        <w:pageBreakBefore w:val="0"/>
        <w:shd w:val="clear"/>
        <w:kinsoku/>
        <w:wordWrap/>
        <w:overflowPunct/>
        <w:topLinePunct w:val="0"/>
        <w:autoSpaceDE/>
        <w:autoSpaceDN/>
        <w:bidi w:val="0"/>
        <w:adjustRightInd/>
        <w:snapToGrid/>
        <w:spacing w:after="187" w:afterLines="60" w:line="588" w:lineRule="exact"/>
        <w:jc w:val="center"/>
        <w:textAlignment w:val="auto"/>
        <w:outlineLvl w:val="0"/>
        <w:rPr>
          <w:rFonts w:ascii="Times New Roman" w:hAnsi="Times New Roman" w:eastAsia="方正黑体_GBK"/>
          <w:color w:val="000000" w:themeColor="text1"/>
          <w:sz w:val="30"/>
          <w:szCs w:val="30"/>
          <w14:textFill>
            <w14:solidFill>
              <w14:schemeClr w14:val="tx1"/>
            </w14:solidFill>
          </w14:textFill>
        </w:rPr>
      </w:pPr>
      <w:r>
        <w:rPr>
          <w:rFonts w:hint="eastAsia" w:ascii="Times New Roman" w:hAnsi="Times New Roman" w:eastAsia="方正黑体_GBK"/>
          <w:color w:val="000000" w:themeColor="text1"/>
          <w:sz w:val="30"/>
          <w:szCs w:val="30"/>
          <w14:textFill>
            <w14:solidFill>
              <w14:schemeClr w14:val="tx1"/>
            </w14:solidFill>
          </w14:textFill>
        </w:rPr>
        <w:t>第一章 总 则</w:t>
      </w:r>
    </w:p>
    <w:p w14:paraId="0235BB2E">
      <w:pPr>
        <w:keepNext w:val="0"/>
        <w:keepLines w:val="0"/>
        <w:pageBreakBefore w:val="0"/>
        <w:shd w:val="clear"/>
        <w:kinsoku/>
        <w:wordWrap/>
        <w:overflowPunct/>
        <w:topLinePunct w:val="0"/>
        <w:autoSpaceDE/>
        <w:autoSpaceDN/>
        <w:bidi w:val="0"/>
        <w:adjustRightInd/>
        <w:snapToGrid/>
        <w:spacing w:line="588" w:lineRule="exact"/>
        <w:ind w:firstLine="600" w:firstLineChars="200"/>
        <w:textAlignment w:val="auto"/>
        <w:rPr>
          <w:rFonts w:hint="eastAsia" w:ascii="Times New Roman" w:hAnsi="Times New Roman" w:eastAsia="方正仿宋_GBK" w:cs="方正仿宋_GBK"/>
          <w:color w:val="000000" w:themeColor="text1"/>
          <w:sz w:val="30"/>
          <w:szCs w:val="30"/>
          <w14:textFill>
            <w14:solidFill>
              <w14:schemeClr w14:val="tx1"/>
            </w14:solidFill>
          </w14:textFill>
        </w:rPr>
      </w:pPr>
      <w:r>
        <w:rPr>
          <w:rFonts w:hint="eastAsia" w:ascii="Times New Roman" w:hAnsi="Times New Roman" w:eastAsia="方正黑体_GBK" w:cs="方正黑体_GBK"/>
          <w:color w:val="000000" w:themeColor="text1"/>
          <w:kern w:val="0"/>
          <w:sz w:val="30"/>
          <w:szCs w:val="30"/>
          <w:lang w:val="en-US" w:eastAsia="zh-CN" w:bidi="ar-SA"/>
          <w14:textFill>
            <w14:solidFill>
              <w14:schemeClr w14:val="tx1"/>
            </w14:solidFill>
          </w14:textFill>
        </w:rPr>
        <w:t>第一条</w:t>
      </w:r>
      <w:r>
        <w:rPr>
          <w:rFonts w:hint="eastAsia" w:ascii="Times New Roman" w:hAnsi="Times New Roman" w:eastAsia="方正仿宋_GBK" w:cs="方正仿宋_GBK"/>
          <w:color w:val="000000" w:themeColor="text1"/>
          <w:sz w:val="30"/>
          <w:szCs w:val="30"/>
          <w14:textFill>
            <w14:solidFill>
              <w14:schemeClr w14:val="tx1"/>
            </w14:solidFill>
          </w14:textFill>
        </w:rPr>
        <w:t> 为深入实施创新驱动发展战略，引导和支持企业</w:t>
      </w:r>
      <w:r>
        <w:rPr>
          <w:rFonts w:hint="eastAsia" w:ascii="Times New Roman" w:hAnsi="Times New Roman" w:eastAsia="方正仿宋_GBK" w:cs="方正仿宋_GBK"/>
          <w:color w:val="000000" w:themeColor="text1"/>
          <w:sz w:val="30"/>
          <w:szCs w:val="30"/>
          <w:lang w:val="en-US"/>
          <w14:textFill>
            <w14:solidFill>
              <w14:schemeClr w14:val="tx1"/>
            </w14:solidFill>
          </w14:textFill>
        </w:rPr>
        <w:t>增强技术</w:t>
      </w:r>
      <w:r>
        <w:rPr>
          <w:rFonts w:hint="eastAsia" w:ascii="Times New Roman" w:hAnsi="Times New Roman" w:eastAsia="方正仿宋_GBK" w:cs="方正仿宋_GBK"/>
          <w:color w:val="000000" w:themeColor="text1"/>
          <w:sz w:val="30"/>
          <w:szCs w:val="30"/>
          <w14:textFill>
            <w14:solidFill>
              <w14:schemeClr w14:val="tx1"/>
            </w14:solidFill>
          </w14:textFill>
        </w:rPr>
        <w:t>创新能力</w:t>
      </w:r>
      <w:r>
        <w:rPr>
          <w:rFonts w:hint="eastAsia" w:ascii="Times New Roman" w:hAnsi="Times New Roman" w:eastAsia="方正仿宋_GBK" w:cs="方正仿宋_GBK"/>
          <w:color w:val="000000" w:themeColor="text1"/>
          <w:sz w:val="30"/>
          <w:szCs w:val="30"/>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14:textFill>
            <w14:solidFill>
              <w14:schemeClr w14:val="tx1"/>
            </w14:solidFill>
          </w14:textFill>
        </w:rPr>
        <w:t>进一步强化企业</w:t>
      </w:r>
      <w:r>
        <w:rPr>
          <w:rFonts w:hint="eastAsia" w:ascii="Times New Roman" w:hAnsi="Times New Roman" w:eastAsia="方正仿宋_GBK" w:cs="方正仿宋_GBK"/>
          <w:color w:val="000000" w:themeColor="text1"/>
          <w:sz w:val="30"/>
          <w:szCs w:val="30"/>
          <w:lang w:val="en-US" w:eastAsia="zh-CN"/>
          <w14:textFill>
            <w14:solidFill>
              <w14:schemeClr w14:val="tx1"/>
            </w14:solidFill>
          </w14:textFill>
        </w:rPr>
        <w:t>科技</w:t>
      </w:r>
      <w:r>
        <w:rPr>
          <w:rFonts w:hint="eastAsia" w:ascii="Times New Roman" w:hAnsi="Times New Roman" w:eastAsia="方正仿宋_GBK" w:cs="方正仿宋_GBK"/>
          <w:color w:val="000000" w:themeColor="text1"/>
          <w:sz w:val="30"/>
          <w:szCs w:val="30"/>
          <w14:textFill>
            <w14:solidFill>
              <w14:schemeClr w14:val="tx1"/>
            </w14:solidFill>
          </w14:textFill>
        </w:rPr>
        <w:t>创新主体地位，</w:t>
      </w:r>
      <w:r>
        <w:rPr>
          <w:rFonts w:hint="eastAsia" w:ascii="Times New Roman" w:hAnsi="Times New Roman" w:eastAsia="方正仿宋_GBK" w:cs="方正仿宋_GBK"/>
          <w:color w:val="000000" w:themeColor="text1"/>
          <w:sz w:val="30"/>
          <w:szCs w:val="30"/>
          <w:lang w:val="en-US" w:eastAsia="zh-CN"/>
          <w14:textFill>
            <w14:solidFill>
              <w14:schemeClr w14:val="tx1"/>
            </w14:solidFill>
          </w14:textFill>
        </w:rPr>
        <w:t>推进科技创新和产业创新深度融合，培育发展新质生产力</w:t>
      </w:r>
      <w:r>
        <w:rPr>
          <w:rFonts w:hint="eastAsia" w:ascii="Times New Roman" w:hAnsi="Times New Roman" w:eastAsia="方正仿宋_GBK" w:cs="方正仿宋_GBK"/>
          <w:color w:val="000000" w:themeColor="text1"/>
          <w:sz w:val="30"/>
          <w:szCs w:val="30"/>
          <w14:textFill>
            <w14:solidFill>
              <w14:schemeClr w14:val="tx1"/>
            </w14:solidFill>
          </w14:textFill>
        </w:rPr>
        <w:t>，</w:t>
      </w:r>
      <w:r>
        <w:rPr>
          <w:rFonts w:hint="eastAsia" w:ascii="Times New Roman" w:hAnsi="Times New Roman" w:eastAsia="方正仿宋_GBK" w:cs="方正仿宋_GBK"/>
          <w:color w:val="000000" w:themeColor="text1"/>
          <w:sz w:val="30"/>
          <w:szCs w:val="30"/>
          <w:lang w:val="en-US" w:eastAsia="zh-CN"/>
          <w14:textFill>
            <w14:solidFill>
              <w14:schemeClr w14:val="tx1"/>
            </w14:solidFill>
          </w14:textFill>
        </w:rPr>
        <w:t>规范企业技术中心管理</w:t>
      </w:r>
      <w:r>
        <w:rPr>
          <w:rFonts w:hint="eastAsia" w:ascii="Times New Roman" w:hAnsi="Times New Roman" w:eastAsia="方正仿宋_GBK" w:cs="方正仿宋_GBK"/>
          <w:color w:val="000000" w:themeColor="text1"/>
          <w:sz w:val="30"/>
          <w:szCs w:val="30"/>
          <w14:textFill>
            <w14:solidFill>
              <w14:schemeClr w14:val="tx1"/>
            </w14:solidFill>
          </w14:textFill>
        </w:rPr>
        <w:t>，特制定本办法。</w:t>
      </w:r>
    </w:p>
    <w:p w14:paraId="442EFC0D">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黑体_GBK" w:cs="方正黑体_GBK"/>
          <w:color w:val="auto"/>
          <w:sz w:val="30"/>
          <w:szCs w:val="30"/>
          <w:highlight w:val="none"/>
          <w:shd w:val="clear" w:color="auto" w:fill="auto"/>
        </w:rPr>
        <w:t>第二条</w:t>
      </w:r>
      <w:r>
        <w:rPr>
          <w:rFonts w:hint="eastAsia" w:ascii="Times New Roman" w:hAnsi="Times New Roman" w:eastAsia="方正仿宋_GBK" w:cs="方正仿宋_GBK"/>
          <w:color w:val="auto"/>
          <w:sz w:val="30"/>
          <w:szCs w:val="30"/>
          <w:highlight w:val="none"/>
          <w:shd w:val="clear" w:color="auto" w:fill="auto"/>
        </w:rPr>
        <w:t> 本办法所称企业技术中心，是指企业根据市场竞争需要设立的技术研发与创新</w:t>
      </w:r>
      <w:r>
        <w:rPr>
          <w:rFonts w:hint="eastAsia" w:ascii="Times New Roman" w:hAnsi="Times New Roman" w:eastAsia="方正仿宋_GBK" w:cs="方正仿宋_GBK"/>
          <w:color w:val="auto"/>
          <w:sz w:val="30"/>
          <w:szCs w:val="30"/>
          <w:highlight w:val="none"/>
          <w:shd w:val="clear" w:color="auto" w:fill="auto"/>
          <w:lang w:val="en-US"/>
        </w:rPr>
        <w:t>机构</w:t>
      </w:r>
      <w:r>
        <w:rPr>
          <w:rFonts w:hint="eastAsia" w:ascii="Times New Roman" w:hAnsi="Times New Roman" w:eastAsia="方正仿宋_GBK" w:cs="方正仿宋_GBK"/>
          <w:color w:val="auto"/>
          <w:sz w:val="30"/>
          <w:szCs w:val="30"/>
          <w:highlight w:val="none"/>
          <w:shd w:val="clear" w:color="auto" w:fill="auto"/>
        </w:rPr>
        <w:t>，负责制定企业</w:t>
      </w:r>
      <w:r>
        <w:rPr>
          <w:rFonts w:hint="eastAsia" w:eastAsia="方正仿宋_GBK" w:cs="方正仿宋_GBK"/>
          <w:color w:val="auto"/>
          <w:sz w:val="30"/>
          <w:szCs w:val="30"/>
          <w:highlight w:val="none"/>
          <w:shd w:val="clear" w:color="auto" w:fill="auto"/>
          <w:lang w:val="en-US" w:eastAsia="zh-CN"/>
        </w:rPr>
        <w:t>科技</w:t>
      </w:r>
      <w:r>
        <w:rPr>
          <w:rFonts w:hint="eastAsia" w:ascii="Times New Roman" w:hAnsi="Times New Roman" w:eastAsia="方正仿宋_GBK" w:cs="方正仿宋_GBK"/>
          <w:color w:val="auto"/>
          <w:sz w:val="30"/>
          <w:szCs w:val="30"/>
          <w:highlight w:val="none"/>
          <w:shd w:val="clear" w:color="auto" w:fill="auto"/>
        </w:rPr>
        <w:t>创新规划、开展</w:t>
      </w:r>
      <w:r>
        <w:rPr>
          <w:rFonts w:hint="eastAsia" w:eastAsia="方正仿宋_GBK" w:cs="方正仿宋_GBK"/>
          <w:color w:val="auto"/>
          <w:sz w:val="30"/>
          <w:szCs w:val="30"/>
          <w:highlight w:val="none"/>
          <w:shd w:val="clear" w:color="auto" w:fill="auto"/>
          <w:lang w:val="en-US" w:eastAsia="zh-CN"/>
        </w:rPr>
        <w:t>科学研究和</w:t>
      </w:r>
      <w:r>
        <w:rPr>
          <w:rFonts w:hint="eastAsia" w:ascii="Times New Roman" w:hAnsi="Times New Roman" w:eastAsia="方正仿宋_GBK" w:cs="方正仿宋_GBK"/>
          <w:color w:val="auto"/>
          <w:sz w:val="30"/>
          <w:szCs w:val="30"/>
          <w:highlight w:val="none"/>
          <w:shd w:val="clear" w:color="auto" w:fill="auto"/>
        </w:rPr>
        <w:t>产业技术研发、创造运用知识产权、建立技术标准体系、凝聚培养创新人才、构建协同创新网络、推进</w:t>
      </w:r>
      <w:r>
        <w:rPr>
          <w:rFonts w:hint="eastAsia" w:eastAsia="方正仿宋_GBK" w:cs="方正仿宋_GBK"/>
          <w:color w:val="auto"/>
          <w:sz w:val="30"/>
          <w:szCs w:val="30"/>
          <w:highlight w:val="none"/>
          <w:shd w:val="clear" w:color="auto" w:fill="auto"/>
          <w:lang w:val="en-US" w:eastAsia="zh-CN"/>
        </w:rPr>
        <w:t>科技</w:t>
      </w:r>
      <w:r>
        <w:rPr>
          <w:rFonts w:hint="eastAsia" w:ascii="Times New Roman" w:hAnsi="Times New Roman" w:eastAsia="方正仿宋_GBK" w:cs="方正仿宋_GBK"/>
          <w:color w:val="auto"/>
          <w:sz w:val="30"/>
          <w:szCs w:val="30"/>
          <w:highlight w:val="none"/>
          <w:shd w:val="clear" w:color="auto" w:fill="auto"/>
        </w:rPr>
        <w:t>创新全过程实施。</w:t>
      </w:r>
    </w:p>
    <w:p w14:paraId="1ED86A6A">
      <w:pPr>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黑体_GBK" w:cs="方正黑体_GBK"/>
          <w:color w:val="auto"/>
          <w:sz w:val="30"/>
          <w:szCs w:val="30"/>
          <w:highlight w:val="none"/>
          <w:shd w:val="clear" w:color="auto" w:fill="auto"/>
        </w:rPr>
        <w:t>第三条</w:t>
      </w:r>
      <w:r>
        <w:rPr>
          <w:rFonts w:hint="eastAsia" w:ascii="Times New Roman" w:hAnsi="Times New Roman" w:eastAsia="方正仿宋_GBK" w:cs="方正仿宋_GBK"/>
          <w:color w:val="auto"/>
          <w:sz w:val="30"/>
          <w:szCs w:val="30"/>
          <w:highlight w:val="none"/>
          <w:shd w:val="clear" w:color="auto" w:fill="auto"/>
        </w:rPr>
        <w:t> 国家鼓励和支持企业建立技术中心，</w:t>
      </w:r>
      <w:r>
        <w:rPr>
          <w:rFonts w:hint="eastAsia" w:ascii="Times New Roman" w:hAnsi="Times New Roman" w:eastAsia="方正仿宋_GBK" w:cs="方正仿宋_GBK"/>
          <w:color w:val="auto"/>
          <w:sz w:val="30"/>
          <w:szCs w:val="30"/>
          <w:highlight w:val="none"/>
          <w:shd w:val="clear" w:color="auto" w:fill="auto"/>
          <w:lang w:val="en-US"/>
        </w:rPr>
        <w:t>发挥</w:t>
      </w:r>
      <w:r>
        <w:rPr>
          <w:rFonts w:hint="eastAsia" w:ascii="Times New Roman" w:hAnsi="Times New Roman" w:eastAsia="方正仿宋_GBK" w:cs="方正仿宋_GBK"/>
          <w:color w:val="auto"/>
          <w:sz w:val="30"/>
          <w:szCs w:val="30"/>
          <w:highlight w:val="none"/>
          <w:shd w:val="clear" w:color="auto" w:fill="auto"/>
        </w:rPr>
        <w:t>企业在</w:t>
      </w:r>
      <w:r>
        <w:rPr>
          <w:rFonts w:hint="eastAsia" w:eastAsia="方正仿宋_GBK" w:cs="方正仿宋_GBK"/>
          <w:color w:val="auto"/>
          <w:sz w:val="30"/>
          <w:szCs w:val="30"/>
          <w:highlight w:val="none"/>
          <w:shd w:val="clear" w:color="auto" w:fill="auto"/>
          <w:lang w:val="en-US" w:eastAsia="zh-CN"/>
        </w:rPr>
        <w:t>科技</w:t>
      </w:r>
      <w:r>
        <w:rPr>
          <w:rFonts w:hint="eastAsia" w:ascii="Times New Roman" w:hAnsi="Times New Roman" w:eastAsia="方正仿宋_GBK" w:cs="方正仿宋_GBK"/>
          <w:color w:val="auto"/>
          <w:sz w:val="30"/>
          <w:szCs w:val="30"/>
          <w:highlight w:val="none"/>
          <w:shd w:val="clear" w:color="auto" w:fill="auto"/>
        </w:rPr>
        <w:t>创新中的主体作用，建立健全企业主导产业技术创新的体制机制。根据创新驱动发展要求和</w:t>
      </w:r>
      <w:r>
        <w:rPr>
          <w:rFonts w:hint="eastAsia" w:eastAsia="方正仿宋_GBK" w:cs="方正仿宋_GBK"/>
          <w:color w:val="auto"/>
          <w:sz w:val="30"/>
          <w:szCs w:val="30"/>
          <w:highlight w:val="none"/>
          <w:shd w:val="clear" w:color="auto" w:fill="auto"/>
          <w:lang w:eastAsia="zh-CN"/>
        </w:rPr>
        <w:t>高质量发展</w:t>
      </w:r>
      <w:r>
        <w:rPr>
          <w:rFonts w:hint="eastAsia" w:ascii="Times New Roman" w:hAnsi="Times New Roman" w:eastAsia="方正仿宋_GBK" w:cs="方正仿宋_GBK"/>
          <w:color w:val="auto"/>
          <w:sz w:val="30"/>
          <w:szCs w:val="30"/>
          <w:highlight w:val="none"/>
          <w:shd w:val="clear" w:color="auto" w:fill="auto"/>
        </w:rPr>
        <w:t>需要，对创新能力强、</w:t>
      </w:r>
      <w:r>
        <w:rPr>
          <w:rFonts w:hint="eastAsia" w:eastAsia="方正仿宋_GBK" w:cs="方正仿宋_GBK"/>
          <w:color w:val="auto"/>
          <w:sz w:val="30"/>
          <w:szCs w:val="30"/>
          <w:highlight w:val="none"/>
          <w:shd w:val="clear" w:color="auto" w:fill="auto"/>
          <w:lang w:eastAsia="zh-CN"/>
        </w:rPr>
        <w:t>体制</w:t>
      </w:r>
      <w:r>
        <w:rPr>
          <w:rFonts w:hint="eastAsia" w:ascii="Times New Roman" w:hAnsi="Times New Roman" w:eastAsia="方正仿宋_GBK" w:cs="方正仿宋_GBK"/>
          <w:color w:val="auto"/>
          <w:sz w:val="30"/>
          <w:szCs w:val="30"/>
          <w:highlight w:val="none"/>
          <w:shd w:val="clear" w:color="auto" w:fill="auto"/>
        </w:rPr>
        <w:t>机制好、示范作用</w:t>
      </w:r>
      <w:r>
        <w:rPr>
          <w:rFonts w:hint="eastAsia" w:ascii="Times New Roman" w:hAnsi="Times New Roman" w:eastAsia="方正仿宋_GBK" w:cs="方正仿宋_GBK"/>
          <w:color w:val="auto"/>
          <w:sz w:val="30"/>
          <w:szCs w:val="30"/>
          <w:highlight w:val="none"/>
          <w:shd w:val="clear" w:color="auto" w:fill="auto"/>
          <w:lang w:eastAsia="zh-CN"/>
        </w:rPr>
        <w:t>强、符合条件</w:t>
      </w:r>
      <w:r>
        <w:rPr>
          <w:rFonts w:hint="eastAsia" w:ascii="Times New Roman" w:hAnsi="Times New Roman" w:eastAsia="方正仿宋_GBK" w:cs="方正仿宋_GBK"/>
          <w:color w:val="auto"/>
          <w:sz w:val="30"/>
          <w:szCs w:val="30"/>
          <w:highlight w:val="none"/>
          <w:shd w:val="clear" w:color="auto" w:fill="auto"/>
        </w:rPr>
        <w:t>的企业技术中心予以认定，给予政策支持，鼓励</w:t>
      </w:r>
      <w:r>
        <w:rPr>
          <w:rFonts w:hint="eastAsia" w:eastAsia="方正仿宋_GBK" w:cs="方正仿宋_GBK"/>
          <w:color w:val="auto"/>
          <w:sz w:val="30"/>
          <w:szCs w:val="30"/>
          <w:highlight w:val="none"/>
          <w:shd w:val="clear" w:color="auto" w:fill="auto"/>
          <w:lang w:eastAsia="zh-CN"/>
        </w:rPr>
        <w:t>开展重大产业技术攻关，带动行业高质量发展</w:t>
      </w:r>
      <w:r>
        <w:rPr>
          <w:rFonts w:hint="eastAsia" w:ascii="Times New Roman" w:hAnsi="Times New Roman" w:eastAsia="方正仿宋_GBK" w:cs="方正仿宋_GBK"/>
          <w:color w:val="auto"/>
          <w:sz w:val="30"/>
          <w:szCs w:val="30"/>
          <w:highlight w:val="none"/>
          <w:shd w:val="clear" w:color="auto" w:fill="auto"/>
        </w:rPr>
        <w:t>。</w:t>
      </w:r>
    </w:p>
    <w:p w14:paraId="037108EA">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黑体_GBK" w:cs="方正黑体_GBK"/>
          <w:color w:val="auto"/>
          <w:sz w:val="30"/>
          <w:szCs w:val="30"/>
          <w:highlight w:val="none"/>
          <w:shd w:val="clear" w:color="auto" w:fill="auto"/>
        </w:rPr>
        <w:t>第四条</w:t>
      </w:r>
      <w:r>
        <w:rPr>
          <w:rFonts w:hint="eastAsia" w:ascii="Times New Roman" w:hAnsi="Times New Roman" w:eastAsia="方正仿宋_GBK" w:cs="方正仿宋_GBK"/>
          <w:color w:val="auto"/>
          <w:sz w:val="30"/>
          <w:szCs w:val="30"/>
          <w:highlight w:val="none"/>
          <w:shd w:val="clear" w:color="auto" w:fill="auto"/>
        </w:rPr>
        <w:t> 国家发展改革委</w:t>
      </w:r>
      <w:r>
        <w:rPr>
          <w:rFonts w:hint="eastAsia" w:eastAsia="方正仿宋_GBK" w:cs="方正仿宋_GBK"/>
          <w:color w:val="auto"/>
          <w:sz w:val="30"/>
          <w:szCs w:val="30"/>
          <w:highlight w:val="none"/>
          <w:shd w:val="clear" w:color="auto" w:fill="auto"/>
          <w:lang w:eastAsia="zh-CN"/>
        </w:rPr>
        <w:t>商</w:t>
      </w:r>
      <w:r>
        <w:rPr>
          <w:rFonts w:hint="eastAsia" w:ascii="Times New Roman" w:hAnsi="Times New Roman" w:eastAsia="方正仿宋_GBK" w:cs="方正仿宋_GBK"/>
          <w:color w:val="auto"/>
          <w:sz w:val="30"/>
          <w:szCs w:val="30"/>
          <w:highlight w:val="none"/>
          <w:shd w:val="clear" w:color="auto" w:fill="auto"/>
        </w:rPr>
        <w:t>财政部、海关总署、税务总局指导协调企业技术中心相关工作。国家发展改革委牵头开展企业技术中心的认定与运行评价。</w:t>
      </w:r>
    </w:p>
    <w:p w14:paraId="515E31C5">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仿宋_GBK" w:cs="方正仿宋_GBK"/>
          <w:color w:val="auto"/>
          <w:sz w:val="30"/>
          <w:szCs w:val="30"/>
          <w:highlight w:val="none"/>
          <w:shd w:val="clear" w:color="auto" w:fill="auto"/>
        </w:rPr>
        <w:t>各省、自治区、直辖市、计划单列市及新疆生产建设兵团发展改革部门或地方人民政府指定的部门</w:t>
      </w:r>
      <w:r>
        <w:rPr>
          <w:rFonts w:hint="eastAsia" w:eastAsia="方正仿宋_GBK" w:cs="方正仿宋_GBK"/>
          <w:color w:val="auto"/>
          <w:sz w:val="30"/>
          <w:szCs w:val="30"/>
          <w:highlight w:val="none"/>
          <w:shd w:val="clear" w:color="auto" w:fill="auto"/>
          <w:lang w:eastAsia="zh-CN"/>
        </w:rPr>
        <w:t>商</w:t>
      </w:r>
      <w:r>
        <w:rPr>
          <w:rFonts w:hint="eastAsia" w:ascii="Times New Roman" w:hAnsi="Times New Roman" w:eastAsia="方正仿宋_GBK" w:cs="方正仿宋_GBK"/>
          <w:color w:val="auto"/>
          <w:sz w:val="30"/>
          <w:szCs w:val="30"/>
          <w:highlight w:val="none"/>
          <w:shd w:val="clear" w:color="auto" w:fill="auto"/>
        </w:rPr>
        <w:t>同级管理部门，负责企业技术中心的申报、管理等事项。</w:t>
      </w:r>
    </w:p>
    <w:p w14:paraId="62570FC4">
      <w:pPr>
        <w:keepNext w:val="0"/>
        <w:keepLines w:val="0"/>
        <w:pageBreakBefore w:val="0"/>
        <w:shd w:val="clear"/>
        <w:kinsoku/>
        <w:wordWrap/>
        <w:overflowPunct/>
        <w:topLinePunct w:val="0"/>
        <w:autoSpaceDE/>
        <w:autoSpaceDN/>
        <w:bidi w:val="0"/>
        <w:adjustRightInd/>
        <w:snapToGrid/>
        <w:spacing w:before="187" w:beforeLines="60" w:after="187" w:afterLines="60" w:line="588" w:lineRule="exact"/>
        <w:jc w:val="center"/>
        <w:textAlignment w:val="auto"/>
        <w:outlineLvl w:val="0"/>
        <w:rPr>
          <w:rFonts w:ascii="Times New Roman" w:hAnsi="Times New Roman" w:eastAsia="方正黑体_GBK"/>
          <w:color w:val="auto"/>
          <w:sz w:val="30"/>
          <w:szCs w:val="30"/>
          <w:highlight w:val="none"/>
          <w:shd w:val="clear" w:color="auto" w:fill="auto"/>
        </w:rPr>
      </w:pPr>
      <w:r>
        <w:rPr>
          <w:rFonts w:hint="eastAsia" w:ascii="Times New Roman" w:hAnsi="Times New Roman" w:eastAsia="方正黑体_GBK"/>
          <w:color w:val="auto"/>
          <w:sz w:val="30"/>
          <w:szCs w:val="30"/>
          <w:highlight w:val="none"/>
          <w:shd w:val="clear" w:color="auto" w:fill="auto"/>
        </w:rPr>
        <w:t>第二章 企业技术中心认定</w:t>
      </w:r>
    </w:p>
    <w:p w14:paraId="16E71A44">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黑体_GBK" w:cs="方正黑体_GBK"/>
          <w:color w:val="auto"/>
          <w:sz w:val="30"/>
          <w:szCs w:val="30"/>
          <w:highlight w:val="none"/>
          <w:shd w:val="clear" w:color="auto" w:fill="auto"/>
        </w:rPr>
        <w:t>第五条</w:t>
      </w:r>
      <w:r>
        <w:rPr>
          <w:rFonts w:hint="eastAsia" w:ascii="Times New Roman" w:hAnsi="Times New Roman" w:eastAsia="方正仿宋_GBK" w:cs="方正仿宋_GBK"/>
          <w:color w:val="auto"/>
          <w:sz w:val="30"/>
          <w:szCs w:val="30"/>
          <w:highlight w:val="none"/>
          <w:shd w:val="clear" w:color="auto" w:fill="auto"/>
        </w:rPr>
        <w:t> 企业技术中心</w:t>
      </w:r>
      <w:r>
        <w:rPr>
          <w:rFonts w:hint="eastAsia" w:eastAsia="方正仿宋_GBK" w:cs="方正仿宋_GBK"/>
          <w:color w:val="auto"/>
          <w:sz w:val="30"/>
          <w:szCs w:val="30"/>
          <w:highlight w:val="none"/>
          <w:shd w:val="clear" w:color="auto" w:fill="auto"/>
          <w:lang w:val="en-US" w:eastAsia="zh-CN"/>
        </w:rPr>
        <w:t>的</w:t>
      </w:r>
      <w:r>
        <w:rPr>
          <w:rFonts w:hint="eastAsia" w:ascii="Times New Roman" w:hAnsi="Times New Roman" w:eastAsia="方正仿宋_GBK" w:cs="方正仿宋_GBK"/>
          <w:color w:val="auto"/>
          <w:sz w:val="30"/>
          <w:szCs w:val="30"/>
          <w:highlight w:val="none"/>
          <w:shd w:val="clear" w:color="auto" w:fill="auto"/>
        </w:rPr>
        <w:t>认定</w:t>
      </w:r>
      <w:r>
        <w:rPr>
          <w:rFonts w:hint="eastAsia" w:eastAsia="方正仿宋_GBK" w:cs="方正仿宋_GBK"/>
          <w:color w:val="auto"/>
          <w:sz w:val="30"/>
          <w:szCs w:val="30"/>
          <w:highlight w:val="none"/>
          <w:shd w:val="clear" w:color="auto" w:fill="auto"/>
          <w:lang w:eastAsia="zh-CN"/>
        </w:rPr>
        <w:t>，</w:t>
      </w:r>
      <w:r>
        <w:rPr>
          <w:rFonts w:hint="eastAsia" w:ascii="Times New Roman" w:hAnsi="Times New Roman" w:eastAsia="方正仿宋_GBK" w:cs="方正仿宋_GBK"/>
          <w:color w:val="auto"/>
          <w:sz w:val="30"/>
          <w:szCs w:val="30"/>
          <w:highlight w:val="none"/>
          <w:shd w:val="clear" w:color="auto" w:fill="auto"/>
        </w:rPr>
        <w:t>坚持</w:t>
      </w:r>
      <w:r>
        <w:rPr>
          <w:rFonts w:hint="eastAsia" w:eastAsia="方正仿宋_GBK" w:cs="方正仿宋_GBK"/>
          <w:color w:val="auto"/>
          <w:sz w:val="30"/>
          <w:szCs w:val="30"/>
          <w:highlight w:val="none"/>
          <w:shd w:val="clear" w:color="auto" w:fill="auto"/>
          <w:lang w:eastAsia="zh-CN"/>
        </w:rPr>
        <w:t>总量控制</w:t>
      </w:r>
      <w:r>
        <w:rPr>
          <w:rFonts w:hint="eastAsia" w:ascii="Times New Roman" w:hAnsi="Times New Roman" w:eastAsia="方正仿宋_GBK" w:cs="方正仿宋_GBK"/>
          <w:color w:val="auto"/>
          <w:sz w:val="30"/>
          <w:szCs w:val="30"/>
          <w:highlight w:val="none"/>
          <w:shd w:val="clear" w:color="auto" w:fill="auto"/>
        </w:rPr>
        <w:t>、优中选优，原则上每两年进行一次。地方政府主管部门根据国家发展改革委通知要求，报送申请材料。</w:t>
      </w:r>
    </w:p>
    <w:p w14:paraId="7200D341">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黑体_GBK" w:cs="方正黑体_GBK"/>
          <w:color w:val="auto"/>
          <w:sz w:val="30"/>
          <w:szCs w:val="30"/>
          <w:highlight w:val="none"/>
          <w:shd w:val="clear" w:color="auto" w:fill="auto"/>
        </w:rPr>
        <w:t>第六条</w:t>
      </w:r>
      <w:r>
        <w:rPr>
          <w:rFonts w:hint="eastAsia" w:ascii="Times New Roman" w:hAnsi="Times New Roman" w:eastAsia="方正仿宋_GBK" w:cs="方正仿宋_GBK"/>
          <w:color w:val="auto"/>
          <w:sz w:val="30"/>
          <w:szCs w:val="30"/>
          <w:highlight w:val="none"/>
          <w:shd w:val="clear" w:color="auto" w:fill="auto"/>
        </w:rPr>
        <w:t> 企业技术中心应当具备以下基本条件：</w:t>
      </w:r>
    </w:p>
    <w:p w14:paraId="2DE41267">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仿宋_GBK" w:cs="方正仿宋_GBK"/>
          <w:color w:val="auto"/>
          <w:sz w:val="30"/>
          <w:szCs w:val="30"/>
          <w:highlight w:val="none"/>
          <w:shd w:val="clear" w:color="auto" w:fill="auto"/>
        </w:rPr>
        <w:t>（一）企业在行业中具有显著的发展优势和竞争优势，具有行业领先的</w:t>
      </w:r>
      <w:r>
        <w:rPr>
          <w:rFonts w:hint="eastAsia" w:eastAsia="方正仿宋_GBK" w:cs="方正仿宋_GBK"/>
          <w:color w:val="auto"/>
          <w:sz w:val="30"/>
          <w:szCs w:val="30"/>
          <w:highlight w:val="none"/>
          <w:shd w:val="clear" w:color="auto" w:fill="auto"/>
          <w:lang w:val="en-US" w:eastAsia="zh-CN"/>
        </w:rPr>
        <w:t>科技</w:t>
      </w:r>
      <w:r>
        <w:rPr>
          <w:rFonts w:hint="eastAsia" w:ascii="Times New Roman" w:hAnsi="Times New Roman" w:eastAsia="方正仿宋_GBK" w:cs="方正仿宋_GBK"/>
          <w:color w:val="auto"/>
          <w:sz w:val="30"/>
          <w:szCs w:val="30"/>
          <w:highlight w:val="none"/>
          <w:shd w:val="clear" w:color="auto" w:fill="auto"/>
        </w:rPr>
        <w:t>创新能力和水平；</w:t>
      </w:r>
    </w:p>
    <w:p w14:paraId="4B2F97F5">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仿宋_GBK" w:cs="方正仿宋_GBK"/>
          <w:color w:val="auto"/>
          <w:sz w:val="30"/>
          <w:szCs w:val="30"/>
          <w:highlight w:val="none"/>
          <w:shd w:val="clear" w:color="auto" w:fill="auto"/>
        </w:rPr>
        <w:t>（二）企业具有较好的</w:t>
      </w:r>
      <w:r>
        <w:rPr>
          <w:rFonts w:hint="eastAsia" w:eastAsia="方正仿宋_GBK" w:cs="方正仿宋_GBK"/>
          <w:color w:val="auto"/>
          <w:sz w:val="30"/>
          <w:szCs w:val="30"/>
          <w:highlight w:val="none"/>
          <w:shd w:val="clear" w:color="auto" w:fill="auto"/>
          <w:lang w:val="en-US" w:eastAsia="zh-CN"/>
        </w:rPr>
        <w:t>科技</w:t>
      </w:r>
      <w:r>
        <w:rPr>
          <w:rFonts w:hint="eastAsia" w:ascii="Times New Roman" w:hAnsi="Times New Roman" w:eastAsia="方正仿宋_GBK" w:cs="方正仿宋_GBK"/>
          <w:color w:val="auto"/>
          <w:sz w:val="30"/>
          <w:szCs w:val="30"/>
          <w:highlight w:val="none"/>
          <w:shd w:val="clear" w:color="auto" w:fill="auto"/>
        </w:rPr>
        <w:t>创新机制，企业技术中心组织体系健全，</w:t>
      </w:r>
      <w:r>
        <w:rPr>
          <w:rFonts w:hint="eastAsia" w:eastAsia="方正仿宋_GBK" w:cs="方正仿宋_GBK"/>
          <w:color w:val="auto"/>
          <w:sz w:val="30"/>
          <w:szCs w:val="30"/>
          <w:highlight w:val="none"/>
          <w:shd w:val="clear" w:color="auto" w:fill="auto"/>
          <w:lang w:eastAsia="zh-CN"/>
        </w:rPr>
        <w:t>具有较为完备的科技成果转化机制、产学研用协同机制，</w:t>
      </w:r>
      <w:r>
        <w:rPr>
          <w:rFonts w:hint="eastAsia" w:ascii="Times New Roman" w:hAnsi="Times New Roman" w:eastAsia="方正仿宋_GBK" w:cs="方正仿宋_GBK"/>
          <w:color w:val="auto"/>
          <w:sz w:val="30"/>
          <w:szCs w:val="30"/>
          <w:highlight w:val="none"/>
          <w:shd w:val="clear" w:color="auto" w:fill="auto"/>
        </w:rPr>
        <w:t>创新效率和效益显著；</w:t>
      </w:r>
    </w:p>
    <w:p w14:paraId="7F2BC4FA">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lang w:eastAsia="zh-CN"/>
        </w:rPr>
      </w:pPr>
      <w:r>
        <w:rPr>
          <w:rFonts w:hint="eastAsia" w:ascii="Times New Roman" w:hAnsi="Times New Roman" w:eastAsia="方正仿宋_GBK" w:cs="方正仿宋_GBK"/>
          <w:color w:val="auto"/>
          <w:sz w:val="30"/>
          <w:szCs w:val="30"/>
          <w:highlight w:val="none"/>
          <w:shd w:val="clear" w:color="auto" w:fill="auto"/>
        </w:rPr>
        <w:t>（三）</w:t>
      </w:r>
      <w:r>
        <w:rPr>
          <w:rFonts w:hint="eastAsia" w:eastAsia="方正仿宋_GBK" w:cs="方正仿宋_GBK"/>
          <w:color w:val="auto"/>
          <w:sz w:val="30"/>
          <w:szCs w:val="30"/>
          <w:highlight w:val="none"/>
          <w:shd w:val="clear" w:color="auto" w:fill="auto"/>
          <w:lang w:eastAsia="zh-CN"/>
        </w:rPr>
        <w:t>企业具有开展重大创新活动的组织机构和人员队伍，</w:t>
      </w:r>
      <w:r>
        <w:rPr>
          <w:rFonts w:hint="eastAsia" w:ascii="Times New Roman" w:hAnsi="Times New Roman" w:eastAsia="方正仿宋_GBK" w:cs="方正仿宋_GBK"/>
          <w:color w:val="auto"/>
          <w:sz w:val="30"/>
          <w:szCs w:val="30"/>
          <w:highlight w:val="none"/>
          <w:shd w:val="clear" w:color="auto" w:fill="auto"/>
        </w:rPr>
        <w:t>有较高的研究开发投入，</w:t>
      </w:r>
      <w:r>
        <w:rPr>
          <w:rFonts w:hint="eastAsia" w:ascii="Times New Roman" w:hAnsi="Times New Roman" w:eastAsia="方正仿宋_GBK" w:cs="方正仿宋_GBK"/>
          <w:color w:val="auto"/>
          <w:sz w:val="30"/>
          <w:szCs w:val="30"/>
          <w:highlight w:val="none"/>
          <w:shd w:val="clear" w:color="auto" w:fill="auto"/>
          <w:lang w:val="en-US" w:eastAsia="zh-CN"/>
        </w:rPr>
        <w:t>拥有</w:t>
      </w:r>
      <w:r>
        <w:rPr>
          <w:rFonts w:hint="eastAsia" w:ascii="Times New Roman" w:hAnsi="Times New Roman" w:eastAsia="方正仿宋_GBK" w:cs="方正仿宋_GBK"/>
          <w:color w:val="auto"/>
          <w:sz w:val="30"/>
          <w:szCs w:val="30"/>
          <w:highlight w:val="none"/>
          <w:shd w:val="clear" w:color="auto" w:fill="auto"/>
        </w:rPr>
        <w:t>技术水平高</w:t>
      </w:r>
      <w:r>
        <w:rPr>
          <w:rFonts w:hint="eastAsia" w:ascii="Times New Roman" w:hAnsi="Times New Roman" w:eastAsia="方正仿宋_GBK" w:cs="方正仿宋_GBK"/>
          <w:color w:val="auto"/>
          <w:sz w:val="30"/>
          <w:szCs w:val="30"/>
          <w:highlight w:val="none"/>
          <w:shd w:val="clear" w:color="auto" w:fill="auto"/>
          <w:lang w:val="en-US" w:eastAsia="zh-CN"/>
        </w:rPr>
        <w:t>、</w:t>
      </w:r>
      <w:r>
        <w:rPr>
          <w:rFonts w:hint="eastAsia" w:ascii="Times New Roman" w:hAnsi="Times New Roman" w:eastAsia="方正仿宋_GBK" w:cs="方正仿宋_GBK"/>
          <w:color w:val="auto"/>
          <w:sz w:val="30"/>
          <w:szCs w:val="30"/>
          <w:highlight w:val="none"/>
          <w:shd w:val="clear" w:color="auto" w:fill="auto"/>
        </w:rPr>
        <w:t>实践经验丰富的技术带头人</w:t>
      </w:r>
      <w:r>
        <w:rPr>
          <w:rFonts w:hint="eastAsia" w:ascii="Times New Roman" w:hAnsi="Times New Roman" w:eastAsia="方正仿宋_GBK" w:cs="方正仿宋_GBK"/>
          <w:color w:val="auto"/>
          <w:sz w:val="30"/>
          <w:szCs w:val="30"/>
          <w:highlight w:val="none"/>
          <w:shd w:val="clear" w:color="auto" w:fill="auto"/>
          <w:lang w:eastAsia="zh-CN"/>
        </w:rPr>
        <w:t>，</w:t>
      </w:r>
      <w:r>
        <w:rPr>
          <w:rFonts w:hint="eastAsia" w:ascii="Times New Roman" w:hAnsi="Times New Roman" w:eastAsia="方正仿宋_GBK" w:cs="方正仿宋_GBK"/>
          <w:color w:val="auto"/>
          <w:sz w:val="30"/>
          <w:szCs w:val="30"/>
          <w:highlight w:val="none"/>
          <w:shd w:val="clear" w:color="auto" w:fill="auto"/>
        </w:rPr>
        <w:t>具有比较完善的研究、开发、试验条件，</w:t>
      </w:r>
      <w:r>
        <w:rPr>
          <w:rFonts w:hint="eastAsia" w:ascii="Times New Roman" w:hAnsi="Times New Roman" w:eastAsia="方正仿宋_GBK" w:cs="方正仿宋_GBK"/>
          <w:color w:val="auto"/>
          <w:sz w:val="30"/>
          <w:szCs w:val="30"/>
          <w:highlight w:val="none"/>
          <w:shd w:val="clear" w:color="auto" w:fill="auto"/>
          <w:lang w:val="en-US" w:eastAsia="zh-CN"/>
        </w:rPr>
        <w:t>必须</w:t>
      </w:r>
      <w:r>
        <w:rPr>
          <w:rFonts w:hint="eastAsia" w:eastAsia="方正仿宋_GBK" w:cs="方正仿宋_GBK"/>
          <w:color w:val="auto"/>
          <w:sz w:val="30"/>
          <w:szCs w:val="30"/>
          <w:highlight w:val="none"/>
          <w:shd w:val="clear" w:color="auto" w:fill="auto"/>
          <w:lang w:val="en-US" w:eastAsia="zh-CN"/>
        </w:rPr>
        <w:t>全部满足</w:t>
      </w:r>
      <w:r>
        <w:rPr>
          <w:rFonts w:hint="eastAsia" w:ascii="Times New Roman" w:hAnsi="Times New Roman" w:eastAsia="方正仿宋_GBK" w:cs="方正仿宋_GBK"/>
          <w:color w:val="auto"/>
          <w:sz w:val="30"/>
          <w:szCs w:val="30"/>
          <w:highlight w:val="none"/>
          <w:shd w:val="clear" w:color="auto" w:fill="auto"/>
          <w:lang w:val="en-US" w:eastAsia="zh-CN"/>
        </w:rPr>
        <w:t>以下</w:t>
      </w:r>
      <w:r>
        <w:rPr>
          <w:rFonts w:hint="eastAsia" w:eastAsia="方正仿宋_GBK" w:cs="方正仿宋_GBK"/>
          <w:color w:val="auto"/>
          <w:sz w:val="30"/>
          <w:szCs w:val="30"/>
          <w:highlight w:val="none"/>
          <w:shd w:val="clear" w:color="auto" w:fill="auto"/>
          <w:lang w:val="en-US" w:eastAsia="zh-CN"/>
        </w:rPr>
        <w:t>基本</w:t>
      </w:r>
      <w:r>
        <w:rPr>
          <w:rFonts w:hint="eastAsia" w:ascii="Times New Roman" w:hAnsi="Times New Roman" w:eastAsia="方正仿宋_GBK" w:cs="方正仿宋_GBK"/>
          <w:color w:val="auto"/>
          <w:sz w:val="30"/>
          <w:szCs w:val="30"/>
          <w:highlight w:val="none"/>
          <w:shd w:val="clear" w:color="auto" w:fill="auto"/>
          <w:lang w:val="en-US" w:eastAsia="zh-CN"/>
        </w:rPr>
        <w:t>条件：（1）</w:t>
      </w:r>
      <w:r>
        <w:rPr>
          <w:rFonts w:hint="eastAsia" w:ascii="Times New Roman" w:hAnsi="Times New Roman" w:eastAsia="方正仿宋_GBK" w:cs="方正仿宋_GBK"/>
          <w:color w:val="auto"/>
          <w:sz w:val="30"/>
          <w:szCs w:val="30"/>
          <w:highlight w:val="none"/>
          <w:shd w:val="clear" w:color="auto" w:fill="auto"/>
        </w:rPr>
        <w:t>年度研究与试验发展经费支出额不低于</w:t>
      </w:r>
      <w:r>
        <w:rPr>
          <w:rFonts w:hint="eastAsia" w:eastAsia="方正仿宋_GBK" w:cs="方正仿宋_GBK"/>
          <w:color w:val="auto"/>
          <w:sz w:val="30"/>
          <w:szCs w:val="30"/>
          <w:highlight w:val="none"/>
          <w:shd w:val="clear" w:color="auto" w:fill="auto"/>
          <w:lang w:val="en-US" w:eastAsia="zh-CN"/>
        </w:rPr>
        <w:t>3000</w:t>
      </w:r>
      <w:r>
        <w:rPr>
          <w:rFonts w:hint="eastAsia" w:ascii="Times New Roman" w:hAnsi="Times New Roman" w:eastAsia="方正仿宋_GBK" w:cs="方正仿宋_GBK"/>
          <w:color w:val="auto"/>
          <w:sz w:val="30"/>
          <w:szCs w:val="30"/>
          <w:highlight w:val="none"/>
          <w:shd w:val="clear" w:color="auto" w:fill="auto"/>
        </w:rPr>
        <w:t>万元</w:t>
      </w:r>
      <w:r>
        <w:rPr>
          <w:rFonts w:hint="eastAsia" w:eastAsia="方正仿宋_GBK" w:cs="方正仿宋_GBK"/>
          <w:color w:val="auto"/>
          <w:sz w:val="30"/>
          <w:szCs w:val="30"/>
          <w:highlight w:val="none"/>
          <w:shd w:val="clear" w:color="auto" w:fill="auto"/>
          <w:lang w:eastAsia="zh-CN"/>
        </w:rPr>
        <w:t>；（</w:t>
      </w:r>
      <w:r>
        <w:rPr>
          <w:rFonts w:hint="eastAsia" w:eastAsia="方正仿宋_GBK" w:cs="方正仿宋_GBK"/>
          <w:color w:val="auto"/>
          <w:sz w:val="30"/>
          <w:szCs w:val="30"/>
          <w:highlight w:val="none"/>
          <w:shd w:val="clear" w:color="auto" w:fill="auto"/>
          <w:lang w:val="en-US" w:eastAsia="zh-CN"/>
        </w:rPr>
        <w:t>2</w:t>
      </w:r>
      <w:r>
        <w:rPr>
          <w:rFonts w:hint="eastAsia" w:eastAsia="方正仿宋_GBK" w:cs="方正仿宋_GBK"/>
          <w:color w:val="auto"/>
          <w:sz w:val="30"/>
          <w:szCs w:val="30"/>
          <w:highlight w:val="none"/>
          <w:shd w:val="clear" w:color="auto" w:fill="auto"/>
          <w:lang w:eastAsia="zh-CN"/>
        </w:rPr>
        <w:t>）</w:t>
      </w:r>
      <w:r>
        <w:rPr>
          <w:rFonts w:hint="eastAsia" w:ascii="Times New Roman" w:hAnsi="Times New Roman" w:eastAsia="方正仿宋_GBK" w:cs="方正仿宋_GBK"/>
          <w:color w:val="auto"/>
          <w:sz w:val="30"/>
          <w:szCs w:val="30"/>
          <w:highlight w:val="none"/>
          <w:shd w:val="clear" w:color="auto" w:fill="auto"/>
        </w:rPr>
        <w:t>专职研究与试验发展人员数不少于</w:t>
      </w:r>
      <w:r>
        <w:rPr>
          <w:rFonts w:hint="eastAsia" w:eastAsia="方正仿宋_GBK" w:cs="方正仿宋_GBK"/>
          <w:color w:val="auto"/>
          <w:sz w:val="30"/>
          <w:szCs w:val="30"/>
          <w:highlight w:val="none"/>
          <w:shd w:val="clear" w:color="auto" w:fill="auto"/>
          <w:lang w:val="en-US" w:eastAsia="zh-CN"/>
        </w:rPr>
        <w:t>150</w:t>
      </w:r>
      <w:r>
        <w:rPr>
          <w:rFonts w:hint="eastAsia" w:ascii="Times New Roman" w:hAnsi="Times New Roman" w:eastAsia="方正仿宋_GBK" w:cs="方正仿宋_GBK"/>
          <w:color w:val="auto"/>
          <w:sz w:val="30"/>
          <w:szCs w:val="30"/>
          <w:highlight w:val="none"/>
          <w:shd w:val="clear" w:color="auto" w:fill="auto"/>
        </w:rPr>
        <w:t>人</w:t>
      </w:r>
      <w:r>
        <w:rPr>
          <w:rFonts w:hint="eastAsia" w:eastAsia="方正仿宋_GBK" w:cs="方正仿宋_GBK"/>
          <w:color w:val="auto"/>
          <w:sz w:val="30"/>
          <w:szCs w:val="30"/>
          <w:highlight w:val="none"/>
          <w:shd w:val="clear" w:color="auto" w:fill="auto"/>
          <w:lang w:eastAsia="zh-CN"/>
        </w:rPr>
        <w:t>；（</w:t>
      </w:r>
      <w:r>
        <w:rPr>
          <w:rFonts w:hint="eastAsia" w:eastAsia="方正仿宋_GBK" w:cs="方正仿宋_GBK"/>
          <w:color w:val="auto"/>
          <w:sz w:val="30"/>
          <w:szCs w:val="30"/>
          <w:highlight w:val="none"/>
          <w:shd w:val="clear" w:color="auto" w:fill="auto"/>
          <w:lang w:val="en-US" w:eastAsia="zh-CN"/>
        </w:rPr>
        <w:t>3</w:t>
      </w:r>
      <w:r>
        <w:rPr>
          <w:rFonts w:hint="eastAsia" w:eastAsia="方正仿宋_GBK" w:cs="方正仿宋_GBK"/>
          <w:color w:val="auto"/>
          <w:sz w:val="30"/>
          <w:szCs w:val="30"/>
          <w:highlight w:val="none"/>
          <w:shd w:val="clear" w:color="auto" w:fill="auto"/>
          <w:lang w:eastAsia="zh-CN"/>
        </w:rPr>
        <w:t>）</w:t>
      </w:r>
      <w:r>
        <w:rPr>
          <w:rFonts w:hint="eastAsia" w:ascii="Times New Roman" w:hAnsi="Times New Roman" w:eastAsia="方正仿宋_GBK" w:cs="方正仿宋_GBK"/>
          <w:color w:val="auto"/>
          <w:sz w:val="30"/>
          <w:szCs w:val="30"/>
          <w:highlight w:val="none"/>
          <w:shd w:val="clear" w:color="auto" w:fill="auto"/>
        </w:rPr>
        <w:t>技术开发仪器设备原值不低于</w:t>
      </w:r>
      <w:r>
        <w:rPr>
          <w:rFonts w:hint="default" w:eastAsia="方正仿宋_GBK" w:cs="方正仿宋_GBK"/>
          <w:color w:val="auto"/>
          <w:sz w:val="30"/>
          <w:szCs w:val="30"/>
          <w:highlight w:val="none"/>
          <w:shd w:val="clear" w:color="auto" w:fill="auto"/>
          <w:lang w:val="en-US" w:eastAsia="zh-CN"/>
        </w:rPr>
        <w:t>3</w:t>
      </w:r>
      <w:r>
        <w:rPr>
          <w:rFonts w:hint="eastAsia" w:ascii="Times New Roman" w:hAnsi="Times New Roman" w:eastAsia="方正仿宋_GBK" w:cs="方正仿宋_GBK"/>
          <w:color w:val="auto"/>
          <w:sz w:val="30"/>
          <w:szCs w:val="30"/>
          <w:highlight w:val="none"/>
          <w:shd w:val="clear" w:color="auto" w:fill="auto"/>
        </w:rPr>
        <w:t>000万元</w:t>
      </w:r>
      <w:r>
        <w:rPr>
          <w:rFonts w:hint="eastAsia" w:eastAsia="方正仿宋_GBK" w:cs="方正仿宋_GBK"/>
          <w:color w:val="auto"/>
          <w:sz w:val="30"/>
          <w:szCs w:val="30"/>
          <w:highlight w:val="none"/>
          <w:shd w:val="clear" w:color="auto" w:fill="auto"/>
          <w:lang w:eastAsia="zh-CN"/>
        </w:rPr>
        <w:t>；</w:t>
      </w:r>
    </w:p>
    <w:p w14:paraId="286E6A8A">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仿宋_GBK" w:cs="方正仿宋_GBK"/>
          <w:color w:val="auto"/>
          <w:sz w:val="30"/>
          <w:szCs w:val="30"/>
          <w:highlight w:val="none"/>
          <w:shd w:val="clear" w:color="auto" w:fill="auto"/>
        </w:rPr>
        <w:t>（</w:t>
      </w:r>
      <w:r>
        <w:rPr>
          <w:rFonts w:hint="eastAsia" w:eastAsia="方正仿宋_GBK" w:cs="方正仿宋_GBK"/>
          <w:color w:val="auto"/>
          <w:sz w:val="30"/>
          <w:szCs w:val="30"/>
          <w:highlight w:val="none"/>
          <w:shd w:val="clear" w:color="auto" w:fill="auto"/>
          <w:lang w:val="en-US" w:eastAsia="zh-CN"/>
        </w:rPr>
        <w:t>四</w:t>
      </w:r>
      <w:r>
        <w:rPr>
          <w:rFonts w:hint="eastAsia" w:ascii="Times New Roman" w:hAnsi="Times New Roman" w:eastAsia="方正仿宋_GBK" w:cs="方正仿宋_GBK"/>
          <w:color w:val="auto"/>
          <w:sz w:val="30"/>
          <w:szCs w:val="30"/>
          <w:highlight w:val="none"/>
          <w:shd w:val="clear" w:color="auto" w:fill="auto"/>
        </w:rPr>
        <w:t>）</w:t>
      </w:r>
      <w:r>
        <w:rPr>
          <w:rFonts w:hint="eastAsia" w:eastAsia="方正仿宋_GBK" w:cs="方正仿宋_GBK"/>
          <w:color w:val="auto"/>
          <w:sz w:val="30"/>
          <w:szCs w:val="30"/>
          <w:highlight w:val="none"/>
          <w:shd w:val="clear" w:color="auto" w:fill="auto"/>
          <w:lang w:val="en-US" w:eastAsia="zh-CN"/>
        </w:rPr>
        <w:t>具</w:t>
      </w:r>
      <w:r>
        <w:rPr>
          <w:rFonts w:hint="eastAsia" w:ascii="Times New Roman" w:hAnsi="Times New Roman" w:eastAsia="方正仿宋_GBK" w:cs="方正仿宋_GBK"/>
          <w:color w:val="auto"/>
          <w:sz w:val="30"/>
          <w:szCs w:val="30"/>
          <w:highlight w:val="none"/>
          <w:shd w:val="clear" w:color="auto" w:fill="auto"/>
        </w:rPr>
        <w:t>有较好的技术积累，重视前沿技术开发；</w:t>
      </w:r>
    </w:p>
    <w:p w14:paraId="311437F6">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仿宋_GBK" w:cs="方正仿宋_GBK"/>
          <w:color w:val="auto"/>
          <w:sz w:val="30"/>
          <w:szCs w:val="30"/>
          <w:highlight w:val="none"/>
          <w:shd w:val="clear" w:color="auto" w:fill="auto"/>
        </w:rPr>
        <w:t>企业在申请受理截止日期前三年内，不得存在下列情况：</w:t>
      </w:r>
    </w:p>
    <w:p w14:paraId="7EE8A10B">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eastAsia="方正仿宋_GBK" w:cs="方正仿宋_GBK"/>
          <w:color w:val="auto"/>
          <w:sz w:val="30"/>
          <w:szCs w:val="30"/>
          <w:highlight w:val="none"/>
          <w:shd w:val="clear" w:color="auto" w:fill="auto"/>
          <w:lang w:eastAsia="zh-CN"/>
        </w:rPr>
        <w:t>（</w:t>
      </w:r>
      <w:r>
        <w:rPr>
          <w:rFonts w:hint="eastAsia" w:eastAsia="方正仿宋_GBK" w:cs="方正仿宋_GBK"/>
          <w:color w:val="auto"/>
          <w:sz w:val="30"/>
          <w:szCs w:val="30"/>
          <w:highlight w:val="none"/>
          <w:shd w:val="clear" w:color="auto" w:fill="auto"/>
          <w:lang w:val="en-US" w:eastAsia="zh-CN"/>
        </w:rPr>
        <w:t>一</w:t>
      </w:r>
      <w:r>
        <w:rPr>
          <w:rFonts w:hint="eastAsia" w:eastAsia="方正仿宋_GBK" w:cs="方正仿宋_GBK"/>
          <w:color w:val="auto"/>
          <w:sz w:val="30"/>
          <w:szCs w:val="30"/>
          <w:highlight w:val="none"/>
          <w:shd w:val="clear" w:color="auto" w:fill="auto"/>
          <w:lang w:eastAsia="zh-CN"/>
        </w:rPr>
        <w:t>）</w:t>
      </w:r>
      <w:r>
        <w:rPr>
          <w:rFonts w:hint="eastAsia" w:ascii="Times New Roman" w:hAnsi="Times New Roman" w:eastAsia="方正仿宋_GBK" w:cs="方正仿宋_GBK"/>
          <w:color w:val="auto"/>
          <w:sz w:val="30"/>
          <w:szCs w:val="30"/>
          <w:highlight w:val="none"/>
          <w:shd w:val="clear" w:color="auto" w:fill="auto"/>
        </w:rPr>
        <w:t>因违反海关法及有关法律、行政法规，构成走私行为，受到刑事、行政处罚，或因严重违反海关监管规定受到行政处罚；</w:t>
      </w:r>
    </w:p>
    <w:p w14:paraId="6DD7DBB4">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eastAsia="方正仿宋_GBK" w:cs="方正仿宋_GBK"/>
          <w:color w:val="auto"/>
          <w:sz w:val="30"/>
          <w:szCs w:val="30"/>
          <w:highlight w:val="none"/>
          <w:shd w:val="clear" w:color="auto" w:fill="auto"/>
          <w:lang w:eastAsia="zh-CN"/>
        </w:rPr>
        <w:t>（</w:t>
      </w:r>
      <w:r>
        <w:rPr>
          <w:rFonts w:hint="eastAsia" w:eastAsia="方正仿宋_GBK" w:cs="方正仿宋_GBK"/>
          <w:color w:val="auto"/>
          <w:sz w:val="30"/>
          <w:szCs w:val="30"/>
          <w:highlight w:val="none"/>
          <w:shd w:val="clear" w:color="auto" w:fill="auto"/>
          <w:lang w:val="en-US" w:eastAsia="zh-CN"/>
        </w:rPr>
        <w:t>二</w:t>
      </w:r>
      <w:r>
        <w:rPr>
          <w:rFonts w:hint="eastAsia" w:eastAsia="方正仿宋_GBK" w:cs="方正仿宋_GBK"/>
          <w:color w:val="auto"/>
          <w:sz w:val="30"/>
          <w:szCs w:val="30"/>
          <w:highlight w:val="none"/>
          <w:shd w:val="clear" w:color="auto" w:fill="auto"/>
          <w:lang w:eastAsia="zh-CN"/>
        </w:rPr>
        <w:t>）</w:t>
      </w:r>
      <w:r>
        <w:rPr>
          <w:rFonts w:hint="eastAsia" w:ascii="Times New Roman" w:hAnsi="Times New Roman" w:eastAsia="方正仿宋_GBK" w:cs="方正仿宋_GBK"/>
          <w:color w:val="auto"/>
          <w:sz w:val="30"/>
          <w:szCs w:val="30"/>
          <w:highlight w:val="none"/>
          <w:shd w:val="clear" w:color="auto" w:fill="auto"/>
        </w:rPr>
        <w:t>因违反税收征管法及有关法律、行政法规，</w:t>
      </w:r>
      <w:r>
        <w:rPr>
          <w:rFonts w:hint="eastAsia" w:eastAsia="方正仿宋_GBK" w:cs="方正仿宋_GBK"/>
          <w:color w:val="auto"/>
          <w:sz w:val="30"/>
          <w:szCs w:val="30"/>
          <w:highlight w:val="none"/>
          <w:shd w:val="clear" w:color="auto" w:fill="auto"/>
          <w:lang w:eastAsia="zh-CN"/>
        </w:rPr>
        <w:t>被确定为重大税收违法失信主体</w:t>
      </w:r>
      <w:r>
        <w:rPr>
          <w:rFonts w:hint="eastAsia" w:ascii="Times New Roman" w:hAnsi="Times New Roman" w:eastAsia="方正仿宋_GBK" w:cs="方正仿宋_GBK"/>
          <w:color w:val="auto"/>
          <w:sz w:val="30"/>
          <w:szCs w:val="30"/>
          <w:highlight w:val="none"/>
          <w:shd w:val="clear" w:color="auto" w:fill="auto"/>
        </w:rPr>
        <w:t>；</w:t>
      </w:r>
    </w:p>
    <w:p w14:paraId="3326408C">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eastAsia="方正仿宋_GBK" w:cs="方正仿宋_GBK"/>
          <w:color w:val="auto"/>
          <w:sz w:val="30"/>
          <w:szCs w:val="30"/>
          <w:highlight w:val="none"/>
          <w:shd w:val="clear" w:color="auto" w:fill="auto"/>
          <w:lang w:eastAsia="zh-CN"/>
        </w:rPr>
        <w:t>（</w:t>
      </w:r>
      <w:r>
        <w:rPr>
          <w:rFonts w:hint="eastAsia" w:eastAsia="方正仿宋_GBK" w:cs="方正仿宋_GBK"/>
          <w:color w:val="auto"/>
          <w:sz w:val="30"/>
          <w:szCs w:val="30"/>
          <w:highlight w:val="none"/>
          <w:shd w:val="clear" w:color="auto" w:fill="auto"/>
          <w:lang w:val="en-US" w:eastAsia="zh-CN"/>
        </w:rPr>
        <w:t>三</w:t>
      </w:r>
      <w:r>
        <w:rPr>
          <w:rFonts w:hint="eastAsia" w:eastAsia="方正仿宋_GBK" w:cs="方正仿宋_GBK"/>
          <w:color w:val="auto"/>
          <w:sz w:val="30"/>
          <w:szCs w:val="30"/>
          <w:highlight w:val="none"/>
          <w:shd w:val="clear" w:color="auto" w:fill="auto"/>
          <w:lang w:eastAsia="zh-CN"/>
        </w:rPr>
        <w:t>）</w:t>
      </w:r>
      <w:r>
        <w:rPr>
          <w:rFonts w:hint="eastAsia" w:ascii="Times New Roman" w:hAnsi="Times New Roman" w:eastAsia="方正仿宋_GBK" w:cs="方正仿宋_GBK"/>
          <w:color w:val="auto"/>
          <w:sz w:val="30"/>
          <w:szCs w:val="30"/>
          <w:highlight w:val="none"/>
          <w:shd w:val="clear" w:color="auto" w:fill="auto"/>
        </w:rPr>
        <w:t>司法、行政机关认定的其他严重违法失信行为。</w:t>
      </w:r>
    </w:p>
    <w:p w14:paraId="6B34CBFA">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黑体_GBK" w:cs="方正黑体_GBK"/>
          <w:color w:val="auto"/>
          <w:sz w:val="30"/>
          <w:szCs w:val="30"/>
          <w:highlight w:val="none"/>
          <w:shd w:val="clear" w:color="auto" w:fill="auto"/>
        </w:rPr>
        <w:t>第七条</w:t>
      </w:r>
      <w:r>
        <w:rPr>
          <w:rFonts w:hint="eastAsia" w:ascii="Times New Roman" w:hAnsi="Times New Roman" w:eastAsia="方正仿宋_GBK" w:cs="方正仿宋_GBK"/>
          <w:color w:val="auto"/>
          <w:sz w:val="30"/>
          <w:szCs w:val="30"/>
          <w:highlight w:val="none"/>
          <w:shd w:val="clear" w:color="auto" w:fill="auto"/>
        </w:rPr>
        <w:t> 地方政府主管部门会同同级管理部门，根据本办法及当年国家发展改革委发布的通知，推荐符合条件的企业技术中心，并将推荐企业技术中心名单及其申请材料（一式</w:t>
      </w:r>
      <w:r>
        <w:rPr>
          <w:rFonts w:hint="eastAsia" w:eastAsia="方正仿宋_GBK" w:cs="方正仿宋_GBK"/>
          <w:color w:val="auto"/>
          <w:sz w:val="30"/>
          <w:szCs w:val="30"/>
          <w:highlight w:val="none"/>
          <w:shd w:val="clear" w:color="auto" w:fill="auto"/>
          <w:lang w:val="en-US" w:eastAsia="zh-CN"/>
        </w:rPr>
        <w:t>两</w:t>
      </w:r>
      <w:r>
        <w:rPr>
          <w:rFonts w:hint="eastAsia" w:ascii="Times New Roman" w:hAnsi="Times New Roman" w:eastAsia="方正仿宋_GBK" w:cs="方正仿宋_GBK"/>
          <w:color w:val="auto"/>
          <w:sz w:val="30"/>
          <w:szCs w:val="30"/>
          <w:highlight w:val="none"/>
          <w:shd w:val="clear" w:color="auto" w:fill="auto"/>
        </w:rPr>
        <w:t>份）报送国家发展改革委。</w:t>
      </w:r>
    </w:p>
    <w:p w14:paraId="7D2FA3C8">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仿宋_GBK" w:cs="方正仿宋_GBK"/>
          <w:color w:val="auto"/>
          <w:sz w:val="30"/>
          <w:szCs w:val="30"/>
          <w:highlight w:val="none"/>
          <w:shd w:val="clear" w:color="auto" w:fill="auto"/>
        </w:rPr>
        <w:t>申请材料主要包括企业技术中心申请报告、评价表及必要的证明材料</w:t>
      </w:r>
      <w:r>
        <w:rPr>
          <w:rFonts w:hint="eastAsia" w:eastAsia="方正仿宋_GBK" w:cs="方正仿宋_GBK"/>
          <w:color w:val="auto"/>
          <w:sz w:val="30"/>
          <w:szCs w:val="30"/>
          <w:highlight w:val="none"/>
          <w:shd w:val="clear" w:color="auto" w:fill="auto"/>
          <w:lang w:eastAsia="zh-CN"/>
        </w:rPr>
        <w:t>，</w:t>
      </w:r>
      <w:r>
        <w:rPr>
          <w:rFonts w:hint="eastAsia" w:eastAsia="方正仿宋_GBK" w:cs="方正仿宋_GBK"/>
          <w:color w:val="auto"/>
          <w:sz w:val="30"/>
          <w:szCs w:val="30"/>
          <w:highlight w:val="none"/>
          <w:shd w:val="clear" w:color="auto" w:fill="auto"/>
          <w:lang w:val="en-US" w:eastAsia="zh-CN"/>
        </w:rPr>
        <w:t>以及地方政府主管部门关于推荐企业技术中心是否存在</w:t>
      </w:r>
      <w:r>
        <w:rPr>
          <w:rFonts w:hint="eastAsia" w:ascii="Times New Roman" w:hAnsi="Times New Roman" w:eastAsia="方正仿宋_GBK" w:cs="方正仿宋_GBK"/>
          <w:color w:val="auto"/>
          <w:sz w:val="30"/>
          <w:szCs w:val="30"/>
          <w:highlight w:val="none"/>
          <w:shd w:val="clear" w:color="auto" w:fill="auto"/>
        </w:rPr>
        <w:t>司法、行政机关认定严重违法失信行为</w:t>
      </w:r>
      <w:r>
        <w:rPr>
          <w:rFonts w:hint="eastAsia" w:eastAsia="方正仿宋_GBK" w:cs="方正仿宋_GBK"/>
          <w:color w:val="auto"/>
          <w:sz w:val="30"/>
          <w:szCs w:val="30"/>
          <w:highlight w:val="none"/>
          <w:shd w:val="clear" w:color="auto" w:fill="auto"/>
          <w:lang w:val="en-US" w:eastAsia="zh-CN"/>
        </w:rPr>
        <w:t>的说明。</w:t>
      </w:r>
    </w:p>
    <w:p w14:paraId="59BEABF4">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黑体_GBK" w:cs="方正黑体_GBK"/>
          <w:color w:val="auto"/>
          <w:sz w:val="30"/>
          <w:szCs w:val="30"/>
          <w:highlight w:val="none"/>
          <w:shd w:val="clear" w:color="auto" w:fill="auto"/>
        </w:rPr>
        <w:t>第八条</w:t>
      </w:r>
      <w:r>
        <w:rPr>
          <w:rFonts w:hint="eastAsia" w:ascii="Times New Roman" w:hAnsi="Times New Roman" w:eastAsia="方正仿宋_GBK" w:cs="方正仿宋_GBK"/>
          <w:color w:val="auto"/>
          <w:sz w:val="30"/>
          <w:szCs w:val="30"/>
          <w:highlight w:val="none"/>
          <w:shd w:val="clear" w:color="auto" w:fill="auto"/>
        </w:rPr>
        <w:t> 母公司技术中心已是企业技术中心的，地方政府主管部门不得再推荐其下属子公司申请企业技术中心。但从事业务领域与母公司不同的子公司，可推荐其申请母公司企业技术中心分中心。</w:t>
      </w:r>
    </w:p>
    <w:p w14:paraId="5AA2FF41">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仿宋_GBK" w:cs="方正仿宋_GBK"/>
          <w:color w:val="auto"/>
          <w:sz w:val="30"/>
          <w:szCs w:val="30"/>
          <w:highlight w:val="none"/>
          <w:shd w:val="clear" w:color="auto" w:fill="auto"/>
        </w:rPr>
        <w:t>子公司已是企业技术中心的，地方政府主管部门在推荐其母公司申请企业技术中心时，应在推荐意见中明确提出将其子公司企业技术中心调整为分中心或撤销的意见。企业技术中心分中心的申请程序和要求与企业技术中心相同。</w:t>
      </w:r>
    </w:p>
    <w:p w14:paraId="54F1C600">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黑体_GBK" w:cs="方正黑体_GBK"/>
          <w:color w:val="auto"/>
          <w:sz w:val="30"/>
          <w:szCs w:val="30"/>
          <w:highlight w:val="none"/>
          <w:shd w:val="clear" w:color="auto" w:fill="auto"/>
        </w:rPr>
        <w:t>第九条</w:t>
      </w:r>
      <w:r>
        <w:rPr>
          <w:rFonts w:hint="eastAsia" w:ascii="Times New Roman" w:hAnsi="Times New Roman" w:eastAsia="方正仿宋_GBK" w:cs="方正仿宋_GBK"/>
          <w:color w:val="auto"/>
          <w:sz w:val="30"/>
          <w:szCs w:val="30"/>
          <w:highlight w:val="none"/>
          <w:shd w:val="clear" w:color="auto" w:fill="auto"/>
        </w:rPr>
        <w:t> 国家发展改革委委托第三方机构组织专家评审，依据评价指标体系对地方政府主管部门推荐的企业技术中心申请材料进行</w:t>
      </w:r>
      <w:r>
        <w:rPr>
          <w:rFonts w:hint="eastAsia" w:eastAsia="方正仿宋_GBK" w:cs="方正仿宋_GBK"/>
          <w:color w:val="auto"/>
          <w:sz w:val="30"/>
          <w:szCs w:val="30"/>
          <w:highlight w:val="none"/>
          <w:shd w:val="clear" w:color="auto" w:fill="auto"/>
          <w:lang w:eastAsia="zh-CN"/>
        </w:rPr>
        <w:t>评估论证</w:t>
      </w:r>
      <w:r>
        <w:rPr>
          <w:rFonts w:hint="eastAsia" w:ascii="Times New Roman" w:hAnsi="Times New Roman" w:eastAsia="方正仿宋_GBK" w:cs="方正仿宋_GBK"/>
          <w:color w:val="auto"/>
          <w:sz w:val="30"/>
          <w:szCs w:val="30"/>
          <w:highlight w:val="none"/>
          <w:shd w:val="clear" w:color="auto" w:fill="auto"/>
        </w:rPr>
        <w:t>。</w:t>
      </w:r>
    </w:p>
    <w:p w14:paraId="514D24D7">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仿宋_GBK" w:cs="方正仿宋_GBK"/>
          <w:color w:val="auto"/>
          <w:sz w:val="30"/>
          <w:szCs w:val="30"/>
          <w:highlight w:val="none"/>
          <w:shd w:val="clear" w:color="auto" w:fill="auto"/>
        </w:rPr>
        <w:t>国家发展改革委</w:t>
      </w:r>
      <w:r>
        <w:rPr>
          <w:rFonts w:hint="eastAsia" w:eastAsia="方正仿宋_GBK" w:cs="方正仿宋_GBK"/>
          <w:color w:val="auto"/>
          <w:sz w:val="30"/>
          <w:szCs w:val="30"/>
          <w:highlight w:val="none"/>
          <w:shd w:val="clear" w:color="auto" w:fill="auto"/>
          <w:lang w:eastAsia="zh-CN"/>
        </w:rPr>
        <w:t>商</w:t>
      </w:r>
      <w:r>
        <w:rPr>
          <w:rFonts w:hint="eastAsia" w:ascii="Times New Roman" w:hAnsi="Times New Roman" w:eastAsia="方正仿宋_GBK" w:cs="方正仿宋_GBK"/>
          <w:color w:val="auto"/>
          <w:sz w:val="30"/>
          <w:szCs w:val="30"/>
          <w:highlight w:val="none"/>
          <w:shd w:val="clear" w:color="auto" w:fill="auto"/>
        </w:rPr>
        <w:t>财政部、海关总署、税务总局，根据专家评审意见以及国家产业政策等综合评估，确</w:t>
      </w:r>
      <w:r>
        <w:rPr>
          <w:rFonts w:hint="eastAsia" w:eastAsia="方正仿宋_GBK" w:cs="方正仿宋_GBK"/>
          <w:color w:val="auto"/>
          <w:sz w:val="30"/>
          <w:szCs w:val="30"/>
          <w:highlight w:val="none"/>
          <w:shd w:val="clear" w:color="auto" w:fill="auto"/>
          <w:lang w:eastAsia="zh-CN"/>
        </w:rPr>
        <w:t>定</w:t>
      </w:r>
      <w:r>
        <w:rPr>
          <w:rFonts w:hint="eastAsia" w:ascii="Times New Roman" w:hAnsi="Times New Roman" w:eastAsia="方正仿宋_GBK" w:cs="方正仿宋_GBK"/>
          <w:color w:val="auto"/>
          <w:sz w:val="30"/>
          <w:szCs w:val="30"/>
          <w:highlight w:val="none"/>
          <w:shd w:val="clear" w:color="auto" w:fill="auto"/>
        </w:rPr>
        <w:t>认定</w:t>
      </w:r>
      <w:r>
        <w:rPr>
          <w:rFonts w:hint="eastAsia" w:eastAsia="方正仿宋_GBK" w:cs="方正仿宋_GBK"/>
          <w:color w:val="auto"/>
          <w:sz w:val="30"/>
          <w:szCs w:val="30"/>
          <w:highlight w:val="none"/>
          <w:shd w:val="clear" w:color="auto" w:fill="auto"/>
          <w:lang w:eastAsia="zh-CN"/>
        </w:rPr>
        <w:t>复核</w:t>
      </w:r>
      <w:r>
        <w:rPr>
          <w:rFonts w:hint="eastAsia" w:ascii="Times New Roman" w:hAnsi="Times New Roman" w:eastAsia="方正仿宋_GBK" w:cs="方正仿宋_GBK"/>
          <w:color w:val="auto"/>
          <w:sz w:val="30"/>
          <w:szCs w:val="30"/>
          <w:highlight w:val="none"/>
          <w:shd w:val="clear" w:color="auto" w:fill="auto"/>
        </w:rPr>
        <w:t>结果。</w:t>
      </w:r>
    </w:p>
    <w:p w14:paraId="7FD105F8">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黑体_GBK" w:cs="方正黑体_GBK"/>
          <w:color w:val="auto"/>
          <w:sz w:val="30"/>
          <w:szCs w:val="30"/>
          <w:highlight w:val="none"/>
          <w:shd w:val="clear" w:color="auto" w:fill="auto"/>
        </w:rPr>
        <w:t>第十条</w:t>
      </w:r>
      <w:r>
        <w:rPr>
          <w:rFonts w:hint="eastAsia" w:ascii="Times New Roman" w:hAnsi="Times New Roman" w:eastAsia="方正仿宋_GBK" w:cs="方正仿宋_GBK"/>
          <w:color w:val="auto"/>
          <w:sz w:val="30"/>
          <w:szCs w:val="30"/>
          <w:highlight w:val="none"/>
          <w:shd w:val="clear" w:color="auto" w:fill="auto"/>
        </w:rPr>
        <w:t> 国家发展改革委</w:t>
      </w:r>
      <w:r>
        <w:rPr>
          <w:rFonts w:hint="eastAsia" w:eastAsia="方正仿宋_GBK" w:cs="方正仿宋_GBK"/>
          <w:color w:val="auto"/>
          <w:sz w:val="30"/>
          <w:szCs w:val="30"/>
          <w:highlight w:val="none"/>
          <w:shd w:val="clear" w:color="auto" w:fill="auto"/>
          <w:lang w:eastAsia="zh-CN"/>
        </w:rPr>
        <w:t>商</w:t>
      </w:r>
      <w:r>
        <w:rPr>
          <w:rFonts w:hint="eastAsia" w:ascii="Times New Roman" w:hAnsi="Times New Roman" w:eastAsia="方正仿宋_GBK" w:cs="方正仿宋_GBK"/>
          <w:color w:val="auto"/>
          <w:sz w:val="30"/>
          <w:szCs w:val="30"/>
          <w:highlight w:val="none"/>
          <w:shd w:val="clear" w:color="auto" w:fill="auto"/>
        </w:rPr>
        <w:t>财政部、海关总署、税务总局，在受理地方政府主管部门申报材料</w:t>
      </w:r>
      <w:r>
        <w:rPr>
          <w:rFonts w:hint="eastAsia" w:eastAsia="方正仿宋_GBK" w:cs="方正仿宋_GBK"/>
          <w:color w:val="auto"/>
          <w:sz w:val="30"/>
          <w:szCs w:val="30"/>
          <w:highlight w:val="none"/>
          <w:shd w:val="clear" w:color="auto" w:fill="auto"/>
          <w:lang w:eastAsia="zh-CN"/>
        </w:rPr>
        <w:t>后及时完成认定工作，</w:t>
      </w:r>
      <w:r>
        <w:rPr>
          <w:rFonts w:hint="eastAsia" w:ascii="Times New Roman" w:hAnsi="Times New Roman" w:eastAsia="方正仿宋_GBK" w:cs="方正仿宋_GBK"/>
          <w:color w:val="auto"/>
          <w:sz w:val="30"/>
          <w:szCs w:val="30"/>
          <w:highlight w:val="none"/>
          <w:shd w:val="clear" w:color="auto" w:fill="auto"/>
        </w:rPr>
        <w:t>向地方政府主管部门及同级管理部门通报认定结果。</w:t>
      </w:r>
    </w:p>
    <w:p w14:paraId="1A2FE896">
      <w:pPr>
        <w:keepNext w:val="0"/>
        <w:keepLines w:val="0"/>
        <w:pageBreakBefore w:val="0"/>
        <w:shd w:val="clear"/>
        <w:kinsoku/>
        <w:wordWrap/>
        <w:overflowPunct/>
        <w:topLinePunct w:val="0"/>
        <w:autoSpaceDE/>
        <w:autoSpaceDN/>
        <w:bidi w:val="0"/>
        <w:adjustRightInd/>
        <w:snapToGrid/>
        <w:spacing w:before="187" w:beforeLines="60" w:after="187" w:afterLines="60" w:line="588" w:lineRule="exact"/>
        <w:jc w:val="center"/>
        <w:textAlignment w:val="auto"/>
        <w:outlineLvl w:val="0"/>
        <w:rPr>
          <w:rFonts w:ascii="Times New Roman" w:hAnsi="Times New Roman" w:eastAsia="方正黑体_GBK"/>
          <w:color w:val="auto"/>
          <w:sz w:val="30"/>
          <w:szCs w:val="30"/>
          <w:highlight w:val="none"/>
          <w:shd w:val="clear" w:color="auto" w:fill="auto"/>
        </w:rPr>
      </w:pPr>
      <w:r>
        <w:rPr>
          <w:rFonts w:hint="eastAsia" w:ascii="Times New Roman" w:hAnsi="Times New Roman" w:eastAsia="方正黑体_GBK"/>
          <w:color w:val="auto"/>
          <w:sz w:val="30"/>
          <w:szCs w:val="30"/>
          <w:highlight w:val="none"/>
          <w:shd w:val="clear" w:color="auto" w:fill="auto"/>
        </w:rPr>
        <w:t>第三章 运行评价</w:t>
      </w:r>
    </w:p>
    <w:p w14:paraId="5D64C208">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黑体_GBK" w:cs="方正黑体_GBK"/>
          <w:color w:val="auto"/>
          <w:sz w:val="30"/>
          <w:szCs w:val="30"/>
          <w:highlight w:val="none"/>
          <w:shd w:val="clear" w:color="auto" w:fill="auto"/>
        </w:rPr>
        <w:t>第十一条</w:t>
      </w:r>
      <w:r>
        <w:rPr>
          <w:rFonts w:hint="eastAsia" w:ascii="Times New Roman" w:hAnsi="Times New Roman" w:eastAsia="方正仿宋_GBK" w:cs="方正仿宋_GBK"/>
          <w:color w:val="auto"/>
          <w:sz w:val="30"/>
          <w:szCs w:val="30"/>
          <w:highlight w:val="none"/>
          <w:shd w:val="clear" w:color="auto" w:fill="auto"/>
        </w:rPr>
        <w:t> 国家发展改革委</w:t>
      </w:r>
      <w:r>
        <w:rPr>
          <w:rFonts w:hint="eastAsia" w:eastAsia="方正仿宋_GBK" w:cs="方正仿宋_GBK"/>
          <w:color w:val="auto"/>
          <w:sz w:val="30"/>
          <w:szCs w:val="30"/>
          <w:highlight w:val="none"/>
          <w:shd w:val="clear" w:color="auto" w:fill="auto"/>
          <w:lang w:eastAsia="zh-CN"/>
        </w:rPr>
        <w:t>商</w:t>
      </w:r>
      <w:r>
        <w:rPr>
          <w:rFonts w:hint="eastAsia" w:ascii="Times New Roman" w:hAnsi="Times New Roman" w:eastAsia="方正仿宋_GBK" w:cs="方正仿宋_GBK"/>
          <w:color w:val="auto"/>
          <w:sz w:val="30"/>
          <w:szCs w:val="30"/>
          <w:highlight w:val="none"/>
          <w:shd w:val="clear" w:color="auto" w:fill="auto"/>
        </w:rPr>
        <w:t>财政部、海关总署、税务总局，原则上每两年组织一次企业技术中心运行评价</w:t>
      </w:r>
      <w:r>
        <w:rPr>
          <w:rFonts w:hint="eastAsia" w:eastAsia="方正仿宋_GBK" w:cs="方正仿宋_GBK"/>
          <w:color w:val="auto"/>
          <w:sz w:val="30"/>
          <w:szCs w:val="30"/>
          <w:highlight w:val="none"/>
          <w:shd w:val="clear" w:color="auto" w:fill="auto"/>
          <w:lang w:eastAsia="zh-CN"/>
        </w:rPr>
        <w:t>，</w:t>
      </w:r>
      <w:r>
        <w:rPr>
          <w:rFonts w:hint="eastAsia" w:eastAsia="方正仿宋_GBK" w:cs="方正仿宋_GBK"/>
          <w:color w:val="auto"/>
          <w:sz w:val="30"/>
          <w:szCs w:val="30"/>
          <w:highlight w:val="none"/>
          <w:shd w:val="clear" w:color="auto" w:fill="auto"/>
          <w:lang w:val="en-US" w:eastAsia="zh-CN"/>
        </w:rPr>
        <w:t>并于评价年度下发评价通知</w:t>
      </w:r>
      <w:r>
        <w:rPr>
          <w:rFonts w:hint="eastAsia" w:ascii="Times New Roman" w:hAnsi="Times New Roman" w:eastAsia="方正仿宋_GBK" w:cs="方正仿宋_GBK"/>
          <w:color w:val="auto"/>
          <w:sz w:val="30"/>
          <w:szCs w:val="30"/>
          <w:highlight w:val="none"/>
          <w:shd w:val="clear" w:color="auto" w:fill="auto"/>
        </w:rPr>
        <w:t>。</w:t>
      </w:r>
    </w:p>
    <w:p w14:paraId="535AE7C8">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仿宋_GBK" w:cs="方正仿宋_GBK"/>
          <w:color w:val="auto"/>
          <w:sz w:val="30"/>
          <w:szCs w:val="30"/>
          <w:highlight w:val="none"/>
          <w:shd w:val="clear" w:color="auto" w:fill="auto"/>
        </w:rPr>
        <w:t>地方政府主管部门对企业技术中心评价材料真实性出具意见，并</w:t>
      </w:r>
      <w:r>
        <w:rPr>
          <w:rFonts w:hint="eastAsia" w:ascii="Times New Roman" w:hAnsi="Times New Roman" w:eastAsia="方正仿宋_GBK" w:cs="方正仿宋_GBK"/>
          <w:color w:val="auto"/>
          <w:sz w:val="30"/>
          <w:szCs w:val="30"/>
          <w:highlight w:val="none"/>
          <w:shd w:val="clear" w:color="auto" w:fill="auto"/>
          <w:lang w:val="en-US" w:eastAsia="zh-CN"/>
        </w:rPr>
        <w:t>按</w:t>
      </w:r>
      <w:r>
        <w:rPr>
          <w:rFonts w:hint="eastAsia" w:eastAsia="方正仿宋_GBK" w:cs="方正仿宋_GBK"/>
          <w:color w:val="auto"/>
          <w:sz w:val="30"/>
          <w:szCs w:val="30"/>
          <w:highlight w:val="none"/>
          <w:shd w:val="clear" w:color="auto" w:fill="auto"/>
          <w:lang w:val="en-US" w:eastAsia="zh-CN"/>
        </w:rPr>
        <w:t>照通知</w:t>
      </w:r>
      <w:r>
        <w:rPr>
          <w:rFonts w:hint="eastAsia" w:ascii="Times New Roman" w:hAnsi="Times New Roman" w:eastAsia="方正仿宋_GBK" w:cs="方正仿宋_GBK"/>
          <w:color w:val="auto"/>
          <w:sz w:val="30"/>
          <w:szCs w:val="30"/>
          <w:highlight w:val="none"/>
          <w:shd w:val="clear" w:color="auto" w:fill="auto"/>
          <w:lang w:val="en-US" w:eastAsia="zh-CN"/>
        </w:rPr>
        <w:t>要求</w:t>
      </w:r>
      <w:r>
        <w:rPr>
          <w:rFonts w:hint="eastAsia" w:ascii="Times New Roman" w:hAnsi="Times New Roman" w:eastAsia="方正仿宋_GBK" w:cs="方正仿宋_GBK"/>
          <w:color w:val="auto"/>
          <w:sz w:val="30"/>
          <w:szCs w:val="30"/>
          <w:highlight w:val="none"/>
          <w:shd w:val="clear" w:color="auto" w:fill="auto"/>
        </w:rPr>
        <w:t>将评价材料报送国家发展改革委。</w:t>
      </w:r>
    </w:p>
    <w:p w14:paraId="7EE22C92">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仿宋_GBK" w:cs="方正仿宋_GBK"/>
          <w:color w:val="auto"/>
          <w:sz w:val="30"/>
          <w:szCs w:val="30"/>
          <w:highlight w:val="none"/>
          <w:shd w:val="clear" w:color="auto" w:fill="auto"/>
        </w:rPr>
        <w:t>评价材料主要包括企业技术中心工作总结、评价表及必要的证明材料</w:t>
      </w:r>
      <w:r>
        <w:rPr>
          <w:rFonts w:hint="eastAsia" w:eastAsia="方正仿宋_GBK" w:cs="方正仿宋_GBK"/>
          <w:color w:val="auto"/>
          <w:sz w:val="30"/>
          <w:szCs w:val="30"/>
          <w:highlight w:val="none"/>
          <w:shd w:val="clear" w:color="auto" w:fill="auto"/>
          <w:lang w:eastAsia="zh-CN"/>
        </w:rPr>
        <w:t>，</w:t>
      </w:r>
      <w:r>
        <w:rPr>
          <w:rFonts w:hint="eastAsia" w:eastAsia="方正仿宋_GBK" w:cs="方正仿宋_GBK"/>
          <w:color w:val="auto"/>
          <w:sz w:val="30"/>
          <w:szCs w:val="30"/>
          <w:highlight w:val="none"/>
          <w:shd w:val="clear" w:color="auto" w:fill="auto"/>
          <w:lang w:val="en-US" w:eastAsia="zh-CN"/>
        </w:rPr>
        <w:t>以及地方政府主管部门关于企业技术中心是否存在</w:t>
      </w:r>
      <w:r>
        <w:rPr>
          <w:rFonts w:hint="eastAsia" w:ascii="Times New Roman" w:hAnsi="Times New Roman" w:eastAsia="方正仿宋_GBK" w:cs="方正仿宋_GBK"/>
          <w:color w:val="auto"/>
          <w:sz w:val="30"/>
          <w:szCs w:val="30"/>
          <w:highlight w:val="none"/>
          <w:shd w:val="clear" w:color="auto" w:fill="auto"/>
        </w:rPr>
        <w:t>司法、行政机关认定严重违法失信行为</w:t>
      </w:r>
      <w:r>
        <w:rPr>
          <w:rFonts w:hint="eastAsia" w:eastAsia="方正仿宋_GBK" w:cs="方正仿宋_GBK"/>
          <w:color w:val="auto"/>
          <w:sz w:val="30"/>
          <w:szCs w:val="30"/>
          <w:highlight w:val="none"/>
          <w:shd w:val="clear" w:color="auto" w:fill="auto"/>
          <w:lang w:val="en-US" w:eastAsia="zh-CN"/>
        </w:rPr>
        <w:t>的说明。</w:t>
      </w:r>
    </w:p>
    <w:p w14:paraId="34F1D2A9">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黑体_GBK" w:cs="方正黑体_GBK"/>
          <w:color w:val="auto"/>
          <w:sz w:val="30"/>
          <w:szCs w:val="30"/>
          <w:highlight w:val="none"/>
          <w:shd w:val="clear" w:color="auto" w:fill="auto"/>
        </w:rPr>
        <w:t>第十二条</w:t>
      </w:r>
      <w:r>
        <w:rPr>
          <w:rFonts w:hint="eastAsia" w:ascii="Times New Roman" w:hAnsi="Times New Roman" w:eastAsia="方正仿宋_GBK" w:cs="方正仿宋_GBK"/>
          <w:color w:val="auto"/>
          <w:sz w:val="30"/>
          <w:szCs w:val="30"/>
          <w:highlight w:val="none"/>
          <w:shd w:val="clear" w:color="auto" w:fill="auto"/>
        </w:rPr>
        <w:t> 国家发展改革委委托第三方机构，依据评价指标体系，对地方政府主管部门报送的评价材料进行评价，并形成评价结果和评价报告。</w:t>
      </w:r>
    </w:p>
    <w:p w14:paraId="17CB7BDC">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黑体_GBK" w:cs="方正黑体_GBK"/>
          <w:color w:val="auto"/>
          <w:sz w:val="30"/>
          <w:szCs w:val="30"/>
          <w:highlight w:val="none"/>
          <w:shd w:val="clear" w:color="auto" w:fill="auto"/>
        </w:rPr>
        <w:t>第十三条</w:t>
      </w:r>
      <w:r>
        <w:rPr>
          <w:rFonts w:hint="eastAsia" w:ascii="Times New Roman" w:hAnsi="Times New Roman" w:eastAsia="方正仿宋_GBK" w:cs="方正仿宋_GBK"/>
          <w:color w:val="auto"/>
          <w:sz w:val="30"/>
          <w:szCs w:val="30"/>
          <w:highlight w:val="none"/>
          <w:shd w:val="clear" w:color="auto" w:fill="auto"/>
        </w:rPr>
        <w:t> 评价结果分为优秀、良好、基本合格和不合格：</w:t>
      </w:r>
    </w:p>
    <w:p w14:paraId="17230144">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仿宋_GBK" w:cs="方正仿宋_GBK"/>
          <w:color w:val="auto"/>
          <w:sz w:val="30"/>
          <w:szCs w:val="30"/>
          <w:highlight w:val="none"/>
          <w:shd w:val="clear" w:color="auto" w:fill="auto"/>
        </w:rPr>
        <w:t>（一）评价得分90分及以上为优秀；</w:t>
      </w:r>
    </w:p>
    <w:p w14:paraId="19814CE9">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仿宋_GBK" w:cs="方正仿宋_GBK"/>
          <w:color w:val="auto"/>
          <w:sz w:val="30"/>
          <w:szCs w:val="30"/>
          <w:highlight w:val="none"/>
          <w:shd w:val="clear" w:color="auto" w:fill="auto"/>
        </w:rPr>
        <w:t>（二）评价得分65分至90分（不含90分）为良好；</w:t>
      </w:r>
    </w:p>
    <w:p w14:paraId="291EB77C">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仿宋_GBK" w:cs="方正仿宋_GBK"/>
          <w:color w:val="auto"/>
          <w:sz w:val="30"/>
          <w:szCs w:val="30"/>
          <w:highlight w:val="none"/>
          <w:shd w:val="clear" w:color="auto" w:fill="auto"/>
        </w:rPr>
        <w:t>（三）评价得分60分至65分（不含65分）为基本合格；</w:t>
      </w:r>
    </w:p>
    <w:p w14:paraId="66173F55">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仿宋_GBK" w:cs="方正仿宋_GBK"/>
          <w:color w:val="auto"/>
          <w:sz w:val="30"/>
          <w:szCs w:val="30"/>
          <w:highlight w:val="none"/>
          <w:shd w:val="clear" w:color="auto" w:fill="auto"/>
        </w:rPr>
        <w:t>（四）评价得分低于60分为不合格。</w:t>
      </w:r>
    </w:p>
    <w:p w14:paraId="7BC3B9AE">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黑体_GBK" w:cs="方正黑体_GBK"/>
          <w:color w:val="auto"/>
          <w:sz w:val="30"/>
          <w:szCs w:val="30"/>
          <w:highlight w:val="none"/>
          <w:shd w:val="clear" w:color="auto" w:fill="auto"/>
        </w:rPr>
        <w:t>第十四条</w:t>
      </w:r>
      <w:r>
        <w:rPr>
          <w:rFonts w:hint="eastAsia" w:ascii="Times New Roman" w:hAnsi="Times New Roman" w:eastAsia="方正仿宋_GBK" w:cs="方正仿宋_GBK"/>
          <w:color w:val="auto"/>
          <w:sz w:val="30"/>
          <w:szCs w:val="30"/>
          <w:highlight w:val="none"/>
          <w:shd w:val="clear" w:color="auto" w:fill="auto"/>
        </w:rPr>
        <w:t> 国家发展改革委</w:t>
      </w:r>
      <w:r>
        <w:rPr>
          <w:rFonts w:hint="eastAsia" w:eastAsia="方正仿宋_GBK" w:cs="方正仿宋_GBK"/>
          <w:color w:val="auto"/>
          <w:sz w:val="30"/>
          <w:szCs w:val="30"/>
          <w:highlight w:val="none"/>
          <w:shd w:val="clear" w:color="auto" w:fill="auto"/>
          <w:lang w:eastAsia="zh-CN"/>
        </w:rPr>
        <w:t>商</w:t>
      </w:r>
      <w:r>
        <w:rPr>
          <w:rFonts w:hint="eastAsia" w:ascii="Times New Roman" w:hAnsi="Times New Roman" w:eastAsia="方正仿宋_GBK" w:cs="方正仿宋_GBK"/>
          <w:color w:val="auto"/>
          <w:sz w:val="30"/>
          <w:szCs w:val="30"/>
          <w:highlight w:val="none"/>
          <w:shd w:val="clear" w:color="auto" w:fill="auto"/>
        </w:rPr>
        <w:t>财政部、海关总署、税务总局对评价结果进行确认。国家发展改革委在受理评价材料之</w:t>
      </w:r>
      <w:r>
        <w:rPr>
          <w:rFonts w:hint="eastAsia" w:eastAsia="方正仿宋_GBK" w:cs="方正仿宋_GBK"/>
          <w:color w:val="auto"/>
          <w:sz w:val="30"/>
          <w:szCs w:val="30"/>
          <w:highlight w:val="none"/>
          <w:shd w:val="clear" w:color="auto" w:fill="auto"/>
          <w:lang w:eastAsia="zh-CN"/>
        </w:rPr>
        <w:t>后及时完成评价工作</w:t>
      </w:r>
      <w:r>
        <w:rPr>
          <w:rFonts w:hint="eastAsia" w:ascii="Times New Roman" w:hAnsi="Times New Roman" w:eastAsia="方正仿宋_GBK" w:cs="方正仿宋_GBK"/>
          <w:color w:val="auto"/>
          <w:sz w:val="30"/>
          <w:szCs w:val="30"/>
          <w:highlight w:val="none"/>
          <w:shd w:val="clear" w:color="auto" w:fill="auto"/>
        </w:rPr>
        <w:t>，向地方政府主管部门通报评价结果。</w:t>
      </w:r>
    </w:p>
    <w:p w14:paraId="5556C45A">
      <w:pPr>
        <w:keepNext w:val="0"/>
        <w:keepLines w:val="0"/>
        <w:pageBreakBefore w:val="0"/>
        <w:shd w:val="clear"/>
        <w:kinsoku/>
        <w:wordWrap/>
        <w:overflowPunct/>
        <w:topLinePunct w:val="0"/>
        <w:autoSpaceDE/>
        <w:autoSpaceDN/>
        <w:bidi w:val="0"/>
        <w:adjustRightInd/>
        <w:snapToGrid/>
        <w:spacing w:before="187" w:beforeLines="60" w:after="187" w:afterLines="60" w:line="588" w:lineRule="exact"/>
        <w:jc w:val="center"/>
        <w:textAlignment w:val="auto"/>
        <w:outlineLvl w:val="0"/>
        <w:rPr>
          <w:rFonts w:ascii="Times New Roman" w:hAnsi="Times New Roman" w:eastAsia="方正黑体_GBK"/>
          <w:color w:val="auto"/>
          <w:sz w:val="30"/>
          <w:szCs w:val="30"/>
          <w:highlight w:val="none"/>
          <w:shd w:val="clear" w:color="auto" w:fill="auto"/>
        </w:rPr>
      </w:pPr>
      <w:r>
        <w:rPr>
          <w:rFonts w:hint="eastAsia" w:ascii="Times New Roman" w:hAnsi="Times New Roman" w:eastAsia="方正黑体_GBK"/>
          <w:color w:val="auto"/>
          <w:sz w:val="30"/>
          <w:szCs w:val="30"/>
          <w:highlight w:val="none"/>
          <w:shd w:val="clear" w:color="auto" w:fill="auto"/>
        </w:rPr>
        <w:t>第四章 鼓励政策</w:t>
      </w:r>
    </w:p>
    <w:p w14:paraId="2029C733">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黑体_GBK" w:cs="方正黑体_GBK"/>
          <w:color w:val="auto"/>
          <w:sz w:val="30"/>
          <w:szCs w:val="30"/>
          <w:highlight w:val="none"/>
          <w:shd w:val="clear" w:color="auto" w:fill="auto"/>
        </w:rPr>
        <w:t>第十五条</w:t>
      </w:r>
      <w:r>
        <w:rPr>
          <w:rFonts w:hint="eastAsia" w:ascii="Times New Roman" w:hAnsi="Times New Roman" w:eastAsia="方正仿宋_GBK" w:cs="方正仿宋_GBK"/>
          <w:color w:val="auto"/>
          <w:sz w:val="30"/>
          <w:szCs w:val="30"/>
          <w:highlight w:val="none"/>
          <w:shd w:val="clear" w:color="auto" w:fill="auto"/>
        </w:rPr>
        <w:t> </w:t>
      </w:r>
      <w:r>
        <w:rPr>
          <w:rFonts w:hint="eastAsia" w:eastAsia="方正仿宋_GBK" w:cs="方正仿宋_GBK"/>
          <w:color w:val="auto"/>
          <w:sz w:val="30"/>
          <w:szCs w:val="30"/>
          <w:highlight w:val="none"/>
          <w:shd w:val="clear" w:color="auto" w:fill="auto"/>
          <w:lang w:val="en-US" w:eastAsia="zh-CN"/>
        </w:rPr>
        <w:t>国家发展改革委鼓励</w:t>
      </w:r>
      <w:r>
        <w:rPr>
          <w:rFonts w:hint="eastAsia" w:ascii="Times New Roman" w:hAnsi="Times New Roman" w:eastAsia="方正仿宋_GBK" w:cs="方正仿宋_GBK"/>
          <w:color w:val="auto"/>
          <w:sz w:val="30"/>
          <w:szCs w:val="30"/>
          <w:highlight w:val="none"/>
          <w:shd w:val="clear" w:color="auto" w:fill="auto"/>
        </w:rPr>
        <w:t>企业技术中心</w:t>
      </w:r>
      <w:r>
        <w:rPr>
          <w:rFonts w:hint="eastAsia" w:eastAsia="方正仿宋_GBK" w:cs="方正仿宋_GBK"/>
          <w:color w:val="auto"/>
          <w:sz w:val="30"/>
          <w:szCs w:val="30"/>
          <w:highlight w:val="none"/>
          <w:shd w:val="clear" w:color="auto" w:fill="auto"/>
          <w:lang w:val="en-US" w:eastAsia="zh-CN"/>
        </w:rPr>
        <w:t>聚焦国家战略需求和产业创新发展需要开展技术研发</w:t>
      </w:r>
      <w:r>
        <w:rPr>
          <w:rFonts w:hint="eastAsia" w:eastAsia="方正仿宋_GBK" w:cs="方正仿宋_GBK"/>
          <w:color w:val="auto"/>
          <w:sz w:val="30"/>
          <w:szCs w:val="30"/>
          <w:highlight w:val="none"/>
          <w:shd w:val="clear" w:color="auto" w:fill="auto"/>
          <w:lang w:eastAsia="zh-CN"/>
        </w:rPr>
        <w:t>，</w:t>
      </w:r>
      <w:r>
        <w:rPr>
          <w:rFonts w:hint="eastAsia" w:eastAsia="方正仿宋_GBK" w:cs="方正仿宋_GBK"/>
          <w:color w:val="auto"/>
          <w:sz w:val="30"/>
          <w:szCs w:val="30"/>
          <w:highlight w:val="none"/>
          <w:shd w:val="clear" w:color="auto" w:fill="auto"/>
          <w:lang w:eastAsia="zh"/>
        </w:rPr>
        <w:t>同等条件下</w:t>
      </w:r>
      <w:r>
        <w:rPr>
          <w:rFonts w:hint="eastAsia" w:eastAsia="方正仿宋_GBK" w:cs="方正仿宋_GBK"/>
          <w:color w:val="auto"/>
          <w:sz w:val="30"/>
          <w:szCs w:val="30"/>
          <w:highlight w:val="none"/>
          <w:shd w:val="clear" w:color="auto" w:fill="auto"/>
          <w:lang w:val="en-US" w:eastAsia="zh-CN"/>
        </w:rPr>
        <w:t>支持</w:t>
      </w:r>
      <w:r>
        <w:rPr>
          <w:rFonts w:hint="eastAsia" w:ascii="Times New Roman" w:hAnsi="Times New Roman" w:eastAsia="方正仿宋_GBK" w:cs="方正仿宋_GBK"/>
          <w:color w:val="auto"/>
          <w:sz w:val="30"/>
          <w:szCs w:val="30"/>
          <w:highlight w:val="none"/>
          <w:shd w:val="clear" w:color="auto" w:fill="auto"/>
        </w:rPr>
        <w:t>优先承担</w:t>
      </w:r>
      <w:r>
        <w:rPr>
          <w:rFonts w:hint="eastAsia" w:ascii="Times New Roman" w:hAnsi="Times New Roman" w:eastAsia="方正仿宋_GBK" w:cs="方正仿宋_GBK"/>
          <w:color w:val="auto"/>
          <w:sz w:val="30"/>
          <w:szCs w:val="30"/>
          <w:highlight w:val="none"/>
          <w:shd w:val="clear" w:color="auto" w:fill="auto"/>
          <w:lang w:val="en-US" w:eastAsia="zh-CN"/>
        </w:rPr>
        <w:t>国家</w:t>
      </w:r>
      <w:r>
        <w:rPr>
          <w:rFonts w:hint="eastAsia" w:eastAsia="方正仿宋_GBK" w:cs="方正仿宋_GBK"/>
          <w:color w:val="auto"/>
          <w:sz w:val="30"/>
          <w:szCs w:val="30"/>
          <w:highlight w:val="none"/>
          <w:shd w:val="clear" w:color="auto" w:fill="auto"/>
          <w:lang w:val="en-US" w:eastAsia="zh-CN"/>
        </w:rPr>
        <w:t>产业技术攻关、示范应用项目</w:t>
      </w:r>
      <w:r>
        <w:rPr>
          <w:rFonts w:hint="eastAsia" w:eastAsia="方正仿宋_GBK" w:cs="方正仿宋_GBK"/>
          <w:b w:val="0"/>
          <w:bCs w:val="0"/>
          <w:color w:val="auto"/>
          <w:sz w:val="30"/>
          <w:szCs w:val="30"/>
          <w:highlight w:val="none"/>
          <w:shd w:val="clear" w:color="auto" w:fill="auto"/>
          <w:lang w:eastAsia="zh-CN"/>
        </w:rPr>
        <w:t>。</w:t>
      </w:r>
    </w:p>
    <w:p w14:paraId="5528E4C8">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黑体_GBK" w:cs="方正黑体_GBK"/>
          <w:color w:val="auto"/>
          <w:sz w:val="30"/>
          <w:szCs w:val="30"/>
          <w:highlight w:val="none"/>
          <w:shd w:val="clear" w:color="auto" w:fill="auto"/>
          <w:lang w:val="en-US" w:eastAsia="zh-CN"/>
        </w:rPr>
        <w:t>第十</w:t>
      </w:r>
      <w:r>
        <w:rPr>
          <w:rFonts w:hint="default" w:eastAsia="方正黑体_GBK" w:cs="方正黑体_GBK"/>
          <w:color w:val="auto"/>
          <w:sz w:val="30"/>
          <w:szCs w:val="30"/>
          <w:highlight w:val="none"/>
          <w:shd w:val="clear" w:color="auto" w:fill="auto"/>
          <w:lang w:val="en-US" w:eastAsia="zh-CN"/>
        </w:rPr>
        <w:t>六</w:t>
      </w:r>
      <w:r>
        <w:rPr>
          <w:rFonts w:hint="eastAsia" w:ascii="Times New Roman" w:hAnsi="Times New Roman" w:eastAsia="方正黑体_GBK" w:cs="方正黑体_GBK"/>
          <w:color w:val="auto"/>
          <w:sz w:val="30"/>
          <w:szCs w:val="30"/>
          <w:highlight w:val="none"/>
          <w:shd w:val="clear" w:color="auto" w:fill="auto"/>
          <w:lang w:val="en-US" w:eastAsia="zh-CN"/>
        </w:rPr>
        <w:t>条</w:t>
      </w:r>
      <w:r>
        <w:rPr>
          <w:rFonts w:hint="eastAsia" w:ascii="Times New Roman" w:hAnsi="Times New Roman" w:eastAsia="方正仿宋_GBK" w:cs="方正仿宋_GBK"/>
          <w:color w:val="auto"/>
          <w:sz w:val="30"/>
          <w:szCs w:val="30"/>
          <w:highlight w:val="none"/>
          <w:shd w:val="clear" w:color="auto" w:fill="auto"/>
        </w:rPr>
        <w:t> </w:t>
      </w:r>
      <w:r>
        <w:rPr>
          <w:rFonts w:hint="eastAsia" w:eastAsia="方正仿宋_GBK" w:cs="方正仿宋_GBK"/>
          <w:color w:val="auto"/>
          <w:sz w:val="30"/>
          <w:szCs w:val="30"/>
          <w:highlight w:val="none"/>
          <w:shd w:val="clear" w:color="auto" w:fill="auto"/>
          <w:lang w:val="en-US" w:eastAsia="zh-CN"/>
        </w:rPr>
        <w:t>国家发展改革委积极支持企业技术中心的科技成果转化，通过</w:t>
      </w:r>
      <w:r>
        <w:rPr>
          <w:rFonts w:hint="eastAsia" w:ascii="Times New Roman" w:hAnsi="Times New Roman" w:eastAsia="方正仿宋_GBK" w:cs="方正仿宋_GBK"/>
          <w:color w:val="auto"/>
          <w:sz w:val="30"/>
          <w:szCs w:val="30"/>
          <w:highlight w:val="none"/>
          <w:shd w:val="clear" w:color="auto" w:fill="auto"/>
          <w:lang w:eastAsia="zh-CN"/>
        </w:rPr>
        <w:t>国家创业投资引导基金</w:t>
      </w:r>
      <w:r>
        <w:rPr>
          <w:rFonts w:hint="eastAsia" w:eastAsia="方正仿宋_GBK" w:cs="方正仿宋_GBK"/>
          <w:color w:val="auto"/>
          <w:sz w:val="30"/>
          <w:szCs w:val="30"/>
          <w:highlight w:val="none"/>
          <w:shd w:val="clear" w:color="auto" w:fill="auto"/>
          <w:lang w:val="en-US" w:eastAsia="zh-CN"/>
        </w:rPr>
        <w:t>等政府投资基金加强资金保障</w:t>
      </w:r>
      <w:r>
        <w:rPr>
          <w:rFonts w:hint="eastAsia" w:eastAsia="方正仿宋_GBK" w:cs="方正仿宋_GBK"/>
          <w:color w:val="auto"/>
          <w:sz w:val="30"/>
          <w:szCs w:val="30"/>
          <w:highlight w:val="none"/>
          <w:shd w:val="clear" w:color="auto" w:fill="auto"/>
          <w:lang w:eastAsia="zh-CN"/>
        </w:rPr>
        <w:t>。</w:t>
      </w:r>
    </w:p>
    <w:p w14:paraId="6357D65D">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黑体_GBK" w:cs="方正黑体_GBK"/>
          <w:color w:val="auto"/>
          <w:sz w:val="30"/>
          <w:szCs w:val="30"/>
          <w:highlight w:val="none"/>
          <w:shd w:val="clear" w:color="auto" w:fill="auto"/>
          <w:lang w:val="en-US" w:eastAsia="zh-CN"/>
        </w:rPr>
        <w:t>第十</w:t>
      </w:r>
      <w:r>
        <w:rPr>
          <w:rFonts w:hint="default" w:eastAsia="方正黑体_GBK" w:cs="方正黑体_GBK"/>
          <w:color w:val="auto"/>
          <w:sz w:val="30"/>
          <w:szCs w:val="30"/>
          <w:highlight w:val="none"/>
          <w:shd w:val="clear" w:color="auto" w:fill="auto"/>
          <w:lang w:val="en-US" w:eastAsia="zh-CN"/>
        </w:rPr>
        <w:t>七</w:t>
      </w:r>
      <w:r>
        <w:rPr>
          <w:rFonts w:hint="eastAsia" w:ascii="Times New Roman" w:hAnsi="Times New Roman" w:eastAsia="方正黑体_GBK" w:cs="方正黑体_GBK"/>
          <w:color w:val="auto"/>
          <w:sz w:val="30"/>
          <w:szCs w:val="30"/>
          <w:highlight w:val="none"/>
          <w:shd w:val="clear" w:color="auto" w:fill="auto"/>
          <w:lang w:val="en-US" w:eastAsia="zh-CN"/>
        </w:rPr>
        <w:t>条</w:t>
      </w:r>
      <w:r>
        <w:rPr>
          <w:rFonts w:hint="eastAsia" w:ascii="Times New Roman" w:hAnsi="Times New Roman" w:eastAsia="方正仿宋_GBK" w:cs="方正仿宋_GBK"/>
          <w:color w:val="auto"/>
          <w:sz w:val="30"/>
          <w:szCs w:val="30"/>
          <w:highlight w:val="none"/>
          <w:shd w:val="clear" w:color="auto" w:fill="auto"/>
        </w:rPr>
        <w:t> 国家发展改革委支持评价为优秀的企业技术中心</w:t>
      </w:r>
      <w:r>
        <w:rPr>
          <w:rFonts w:hint="eastAsia" w:eastAsia="方正仿宋_GBK" w:cs="方正仿宋_GBK"/>
          <w:color w:val="auto"/>
          <w:sz w:val="30"/>
          <w:szCs w:val="30"/>
          <w:highlight w:val="none"/>
          <w:shd w:val="clear" w:color="auto" w:fill="auto"/>
          <w:lang w:eastAsia="zh-CN"/>
        </w:rPr>
        <w:t>优先</w:t>
      </w:r>
      <w:r>
        <w:rPr>
          <w:rFonts w:hint="eastAsia" w:ascii="Times New Roman" w:hAnsi="Times New Roman" w:eastAsia="方正仿宋_GBK" w:cs="方正仿宋_GBK"/>
          <w:color w:val="auto"/>
          <w:sz w:val="30"/>
          <w:szCs w:val="30"/>
          <w:highlight w:val="none"/>
          <w:shd w:val="clear" w:color="auto" w:fill="auto"/>
        </w:rPr>
        <w:t>牵头组建</w:t>
      </w:r>
      <w:r>
        <w:rPr>
          <w:rFonts w:hint="eastAsia" w:eastAsia="方正仿宋_GBK" w:cs="方正仿宋_GBK"/>
          <w:color w:val="auto"/>
          <w:sz w:val="30"/>
          <w:szCs w:val="30"/>
          <w:highlight w:val="none"/>
          <w:shd w:val="clear" w:color="auto" w:fill="auto"/>
          <w:lang w:eastAsia="zh-CN"/>
        </w:rPr>
        <w:t>国家产业技术工程化中心、国家新兴产业创新中心等</w:t>
      </w:r>
      <w:r>
        <w:rPr>
          <w:rFonts w:hint="eastAsia" w:ascii="Times New Roman" w:hAnsi="Times New Roman" w:eastAsia="方正仿宋_GBK" w:cs="方正仿宋_GBK"/>
          <w:color w:val="auto"/>
          <w:sz w:val="30"/>
          <w:szCs w:val="30"/>
          <w:highlight w:val="none"/>
          <w:shd w:val="clear" w:color="auto" w:fill="auto"/>
        </w:rPr>
        <w:t>国家级</w:t>
      </w:r>
      <w:r>
        <w:rPr>
          <w:rFonts w:hint="eastAsia" w:eastAsia="方正仿宋_GBK" w:cs="方正仿宋_GBK"/>
          <w:color w:val="auto"/>
          <w:sz w:val="30"/>
          <w:szCs w:val="30"/>
          <w:highlight w:val="none"/>
          <w:shd w:val="clear" w:color="auto" w:fill="auto"/>
          <w:lang w:eastAsia="zh-CN"/>
        </w:rPr>
        <w:t>科技</w:t>
      </w:r>
      <w:r>
        <w:rPr>
          <w:rFonts w:hint="eastAsia" w:ascii="Times New Roman" w:hAnsi="Times New Roman" w:eastAsia="方正仿宋_GBK" w:cs="方正仿宋_GBK"/>
          <w:color w:val="auto"/>
          <w:sz w:val="30"/>
          <w:szCs w:val="30"/>
          <w:highlight w:val="none"/>
          <w:shd w:val="clear" w:color="auto" w:fill="auto"/>
        </w:rPr>
        <w:t>创新平台基地。</w:t>
      </w:r>
    </w:p>
    <w:p w14:paraId="67109DA6">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default" w:ascii="Times New Roman" w:hAnsi="Times New Roman" w:eastAsia="方正仿宋_GBK" w:cs="方正仿宋_GBK"/>
          <w:color w:val="auto"/>
          <w:sz w:val="30"/>
          <w:szCs w:val="30"/>
          <w:highlight w:val="none"/>
          <w:shd w:val="clear" w:color="auto" w:fill="auto"/>
          <w:lang w:val="en-US" w:eastAsia="zh-CN"/>
        </w:rPr>
      </w:pPr>
      <w:r>
        <w:rPr>
          <w:rFonts w:hint="eastAsia" w:ascii="Times New Roman" w:hAnsi="Times New Roman" w:eastAsia="方正黑体_GBK" w:cs="方正黑体_GBK"/>
          <w:color w:val="auto"/>
          <w:sz w:val="30"/>
          <w:szCs w:val="30"/>
          <w:highlight w:val="none"/>
          <w:shd w:val="clear" w:color="auto" w:fill="auto"/>
          <w:lang w:val="en-US" w:eastAsia="zh-CN"/>
        </w:rPr>
        <w:t>第十</w:t>
      </w:r>
      <w:r>
        <w:rPr>
          <w:rFonts w:hint="eastAsia" w:eastAsia="方正黑体_GBK" w:cs="方正黑体_GBK"/>
          <w:color w:val="auto"/>
          <w:sz w:val="30"/>
          <w:szCs w:val="30"/>
          <w:highlight w:val="none"/>
          <w:shd w:val="clear" w:color="auto" w:fill="auto"/>
          <w:lang w:val="en-US" w:eastAsia="zh-CN"/>
        </w:rPr>
        <w:t>八</w:t>
      </w:r>
      <w:r>
        <w:rPr>
          <w:rFonts w:hint="eastAsia" w:ascii="Times New Roman" w:hAnsi="Times New Roman" w:eastAsia="方正黑体_GBK" w:cs="方正黑体_GBK"/>
          <w:color w:val="auto"/>
          <w:sz w:val="30"/>
          <w:szCs w:val="30"/>
          <w:highlight w:val="none"/>
          <w:shd w:val="clear" w:color="auto" w:fill="auto"/>
          <w:lang w:val="en-US" w:eastAsia="zh-CN"/>
        </w:rPr>
        <w:t>条</w:t>
      </w:r>
      <w:r>
        <w:rPr>
          <w:rFonts w:hint="eastAsia" w:ascii="Times New Roman" w:hAnsi="Times New Roman" w:eastAsia="方正仿宋_GBK" w:cs="方正仿宋_GBK"/>
          <w:color w:val="auto"/>
          <w:sz w:val="30"/>
          <w:szCs w:val="30"/>
          <w:highlight w:val="none"/>
          <w:shd w:val="clear" w:color="auto" w:fill="auto"/>
        </w:rPr>
        <w:t> </w:t>
      </w:r>
      <w:r>
        <w:rPr>
          <w:rFonts w:hint="eastAsia" w:eastAsia="方正仿宋_GBK" w:cs="方正仿宋_GBK"/>
          <w:color w:val="auto"/>
          <w:sz w:val="30"/>
          <w:szCs w:val="30"/>
          <w:highlight w:val="none"/>
          <w:shd w:val="clear" w:color="auto" w:fill="auto"/>
          <w:lang w:eastAsia="zh-CN"/>
        </w:rPr>
        <w:t>国家发展改革委</w:t>
      </w:r>
      <w:r>
        <w:rPr>
          <w:rFonts w:hint="eastAsia" w:ascii="Times New Roman" w:hAnsi="Times New Roman" w:eastAsia="方正仿宋_GBK" w:cs="方正仿宋_GBK"/>
          <w:color w:val="auto"/>
          <w:sz w:val="30"/>
          <w:szCs w:val="30"/>
          <w:highlight w:val="none"/>
          <w:shd w:val="clear" w:color="auto" w:fill="auto"/>
        </w:rPr>
        <w:t>支持</w:t>
      </w:r>
      <w:r>
        <w:rPr>
          <w:rFonts w:hint="eastAsia" w:eastAsia="方正仿宋_GBK" w:cs="方正仿宋_GBK"/>
          <w:color w:val="auto"/>
          <w:sz w:val="30"/>
          <w:szCs w:val="30"/>
          <w:highlight w:val="none"/>
          <w:shd w:val="clear" w:color="auto" w:fill="auto"/>
          <w:lang w:eastAsia="zh-CN"/>
        </w:rPr>
        <w:t>符合条件的</w:t>
      </w:r>
      <w:r>
        <w:rPr>
          <w:rFonts w:hint="eastAsia" w:ascii="Times New Roman" w:hAnsi="Times New Roman" w:eastAsia="方正仿宋_GBK" w:cs="方正仿宋_GBK"/>
          <w:color w:val="auto"/>
          <w:sz w:val="30"/>
          <w:szCs w:val="30"/>
          <w:highlight w:val="none"/>
          <w:shd w:val="clear" w:color="auto" w:fill="auto"/>
        </w:rPr>
        <w:t>企业</w:t>
      </w:r>
      <w:r>
        <w:rPr>
          <w:rFonts w:hint="eastAsia" w:eastAsia="方正仿宋_GBK" w:cs="方正仿宋_GBK"/>
          <w:color w:val="auto"/>
          <w:sz w:val="30"/>
          <w:szCs w:val="30"/>
          <w:highlight w:val="none"/>
          <w:shd w:val="clear" w:color="auto" w:fill="auto"/>
          <w:lang w:eastAsia="zh-CN"/>
        </w:rPr>
        <w:t>技术中心合理申请新增外债用于发展业务，直接向国家发展改革委提出申请</w:t>
      </w:r>
      <w:r>
        <w:rPr>
          <w:rFonts w:hint="eastAsia" w:eastAsia="方正仿宋_GBK" w:cs="方正仿宋_GBK"/>
          <w:color w:val="auto"/>
          <w:sz w:val="30"/>
          <w:szCs w:val="30"/>
          <w:highlight w:val="none"/>
          <w:shd w:val="clear" w:color="auto" w:fill="auto"/>
          <w:lang w:val="en-US" w:eastAsia="zh-CN"/>
        </w:rPr>
        <w:t>，无需地方出具支持性意见。</w:t>
      </w:r>
    </w:p>
    <w:p w14:paraId="4D64C2EE">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eastAsia="方正仿宋_GBK" w:cs="方正仿宋_GBK"/>
          <w:color w:val="auto"/>
          <w:sz w:val="30"/>
          <w:szCs w:val="30"/>
          <w:highlight w:val="yellow"/>
          <w:shd w:val="clear" w:color="auto" w:fill="auto"/>
          <w:lang w:val="en-US" w:eastAsia="zh-CN"/>
        </w:rPr>
      </w:pPr>
      <w:r>
        <w:rPr>
          <w:rFonts w:hint="eastAsia" w:ascii="Times New Roman" w:hAnsi="Times New Roman" w:eastAsia="方正黑体_GBK" w:cs="方正黑体_GBK"/>
          <w:color w:val="auto"/>
          <w:sz w:val="30"/>
          <w:szCs w:val="30"/>
          <w:highlight w:val="none"/>
          <w:shd w:val="clear" w:color="auto" w:fill="auto"/>
          <w:lang w:val="en-US" w:eastAsia="zh-CN"/>
        </w:rPr>
        <w:t>第十</w:t>
      </w:r>
      <w:r>
        <w:rPr>
          <w:rFonts w:hint="eastAsia" w:eastAsia="方正黑体_GBK" w:cs="方正黑体_GBK"/>
          <w:color w:val="auto"/>
          <w:sz w:val="30"/>
          <w:szCs w:val="30"/>
          <w:highlight w:val="none"/>
          <w:shd w:val="clear" w:color="auto" w:fill="auto"/>
          <w:lang w:val="en-US" w:eastAsia="zh-CN"/>
        </w:rPr>
        <w:t>九</w:t>
      </w:r>
      <w:r>
        <w:rPr>
          <w:rFonts w:hint="eastAsia" w:ascii="Times New Roman" w:hAnsi="Times New Roman" w:eastAsia="方正黑体_GBK" w:cs="方正黑体_GBK"/>
          <w:color w:val="auto"/>
          <w:sz w:val="30"/>
          <w:szCs w:val="30"/>
          <w:highlight w:val="none"/>
          <w:shd w:val="clear" w:color="auto" w:fill="auto"/>
          <w:lang w:val="en-US" w:eastAsia="zh-CN"/>
        </w:rPr>
        <w:t>条</w:t>
      </w:r>
      <w:r>
        <w:rPr>
          <w:rFonts w:hint="eastAsia" w:ascii="Times New Roman" w:hAnsi="Times New Roman" w:eastAsia="方正仿宋_GBK" w:cs="方正仿宋_GBK"/>
          <w:color w:val="auto"/>
          <w:sz w:val="30"/>
          <w:szCs w:val="30"/>
          <w:highlight w:val="none"/>
          <w:shd w:val="clear" w:color="auto" w:fill="auto"/>
        </w:rPr>
        <w:t> </w:t>
      </w:r>
      <w:r>
        <w:rPr>
          <w:rFonts w:hint="eastAsia" w:eastAsia="方正仿宋_GBK" w:cs="方正仿宋_GBK"/>
          <w:color w:val="auto"/>
          <w:sz w:val="30"/>
          <w:szCs w:val="30"/>
          <w:highlight w:val="none"/>
          <w:shd w:val="clear" w:color="auto" w:fill="auto"/>
          <w:lang w:val="en-US" w:eastAsia="zh-CN"/>
        </w:rPr>
        <w:t>国家发展改革委支持企业技术中心强化人才队伍建设，鼓励支持申报各类人才专项。</w:t>
      </w:r>
    </w:p>
    <w:p w14:paraId="622991C0">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eastAsia="方正仿宋_GBK" w:cs="方正仿宋_GBK"/>
          <w:color w:val="auto"/>
          <w:sz w:val="30"/>
          <w:szCs w:val="30"/>
          <w:highlight w:val="none"/>
          <w:shd w:val="clear" w:color="auto" w:fill="auto"/>
          <w:lang w:eastAsia="zh-CN"/>
        </w:rPr>
      </w:pPr>
      <w:r>
        <w:rPr>
          <w:rFonts w:hint="eastAsia" w:ascii="Times New Roman" w:hAnsi="Times New Roman" w:eastAsia="方正黑体_GBK" w:cs="方正黑体_GBK"/>
          <w:color w:val="auto"/>
          <w:sz w:val="30"/>
          <w:szCs w:val="30"/>
          <w:highlight w:val="none"/>
          <w:shd w:val="clear" w:color="auto" w:fill="auto"/>
        </w:rPr>
        <w:t>第</w:t>
      </w:r>
      <w:r>
        <w:rPr>
          <w:rFonts w:hint="eastAsia" w:eastAsia="方正黑体_GBK" w:cs="方正黑体_GBK"/>
          <w:color w:val="auto"/>
          <w:sz w:val="30"/>
          <w:szCs w:val="30"/>
          <w:highlight w:val="none"/>
          <w:shd w:val="clear" w:color="auto" w:fill="auto"/>
          <w:lang w:val="en-US" w:eastAsia="zh-CN"/>
        </w:rPr>
        <w:t>二十</w:t>
      </w:r>
      <w:r>
        <w:rPr>
          <w:rFonts w:hint="eastAsia" w:ascii="Times New Roman" w:hAnsi="Times New Roman" w:eastAsia="方正黑体_GBK" w:cs="方正黑体_GBK"/>
          <w:color w:val="auto"/>
          <w:sz w:val="30"/>
          <w:szCs w:val="30"/>
          <w:highlight w:val="none"/>
          <w:shd w:val="clear" w:color="auto" w:fill="auto"/>
        </w:rPr>
        <w:t>条</w:t>
      </w:r>
      <w:r>
        <w:rPr>
          <w:rFonts w:hint="eastAsia" w:ascii="Times New Roman" w:hAnsi="Times New Roman" w:eastAsia="方正仿宋_GBK" w:cs="方正仿宋_GBK"/>
          <w:color w:val="auto"/>
          <w:sz w:val="30"/>
          <w:szCs w:val="30"/>
          <w:highlight w:val="none"/>
          <w:shd w:val="clear" w:color="auto" w:fill="auto"/>
        </w:rPr>
        <w:t> </w:t>
      </w:r>
      <w:r>
        <w:rPr>
          <w:rFonts w:hint="eastAsia" w:eastAsia="方正仿宋_GBK" w:cs="方正仿宋_GBK"/>
          <w:color w:val="auto"/>
          <w:sz w:val="30"/>
          <w:szCs w:val="30"/>
          <w:highlight w:val="none"/>
          <w:shd w:val="clear" w:color="auto" w:fill="auto"/>
          <w:lang w:eastAsia="zh-CN"/>
        </w:rPr>
        <w:t>鼓励</w:t>
      </w:r>
      <w:r>
        <w:rPr>
          <w:rFonts w:hint="eastAsia" w:ascii="Times New Roman" w:hAnsi="Times New Roman" w:eastAsia="方正仿宋_GBK" w:cs="方正仿宋_GBK"/>
          <w:color w:val="auto"/>
          <w:sz w:val="30"/>
          <w:szCs w:val="30"/>
          <w:highlight w:val="none"/>
          <w:shd w:val="clear" w:color="auto" w:fill="auto"/>
        </w:rPr>
        <w:t>地方结合企业技术中心建设运行需求，在资金、土地、科研、人才等方面给予必要支持。</w:t>
      </w:r>
    </w:p>
    <w:p w14:paraId="3025889F">
      <w:pPr>
        <w:keepNext w:val="0"/>
        <w:keepLines w:val="0"/>
        <w:pageBreakBefore w:val="0"/>
        <w:shd w:val="clear"/>
        <w:kinsoku/>
        <w:wordWrap/>
        <w:overflowPunct/>
        <w:topLinePunct w:val="0"/>
        <w:autoSpaceDE/>
        <w:autoSpaceDN/>
        <w:bidi w:val="0"/>
        <w:adjustRightInd/>
        <w:snapToGrid/>
        <w:spacing w:before="187" w:beforeLines="60" w:after="187" w:afterLines="60" w:line="588" w:lineRule="exact"/>
        <w:jc w:val="center"/>
        <w:textAlignment w:val="auto"/>
        <w:outlineLvl w:val="0"/>
        <w:rPr>
          <w:rFonts w:ascii="Times New Roman" w:hAnsi="Times New Roman" w:eastAsia="方正黑体_GBK"/>
          <w:color w:val="auto"/>
          <w:sz w:val="30"/>
          <w:szCs w:val="30"/>
          <w:highlight w:val="none"/>
          <w:shd w:val="clear" w:color="auto" w:fill="auto"/>
        </w:rPr>
      </w:pPr>
      <w:r>
        <w:rPr>
          <w:rFonts w:hint="eastAsia" w:ascii="Times New Roman" w:hAnsi="Times New Roman" w:eastAsia="方正黑体_GBK"/>
          <w:color w:val="auto"/>
          <w:sz w:val="30"/>
          <w:szCs w:val="30"/>
          <w:highlight w:val="none"/>
          <w:shd w:val="clear" w:color="auto" w:fill="auto"/>
        </w:rPr>
        <w:t>第五章 监督管理</w:t>
      </w:r>
    </w:p>
    <w:p w14:paraId="185A6012">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黑体_GBK" w:cs="方正黑体_GBK"/>
          <w:color w:val="auto"/>
          <w:sz w:val="30"/>
          <w:szCs w:val="30"/>
          <w:highlight w:val="none"/>
          <w:shd w:val="clear" w:color="auto" w:fill="auto"/>
        </w:rPr>
        <w:t>第</w:t>
      </w:r>
      <w:r>
        <w:rPr>
          <w:rFonts w:hint="eastAsia" w:eastAsia="方正黑体_GBK" w:cs="方正黑体_GBK"/>
          <w:color w:val="auto"/>
          <w:sz w:val="30"/>
          <w:szCs w:val="30"/>
          <w:highlight w:val="none"/>
          <w:shd w:val="clear" w:color="auto" w:fill="auto"/>
          <w:lang w:val="en-US" w:eastAsia="zh-CN"/>
        </w:rPr>
        <w:t>二十一</w:t>
      </w:r>
      <w:r>
        <w:rPr>
          <w:rFonts w:hint="eastAsia" w:ascii="Times New Roman" w:hAnsi="Times New Roman" w:eastAsia="方正黑体_GBK" w:cs="方正黑体_GBK"/>
          <w:color w:val="auto"/>
          <w:sz w:val="30"/>
          <w:szCs w:val="30"/>
          <w:highlight w:val="none"/>
          <w:shd w:val="clear" w:color="auto" w:fill="auto"/>
        </w:rPr>
        <w:t>条</w:t>
      </w:r>
      <w:r>
        <w:rPr>
          <w:rFonts w:hint="eastAsia" w:ascii="Times New Roman" w:hAnsi="Times New Roman" w:eastAsia="方正仿宋_GBK" w:cs="方正仿宋_GBK"/>
          <w:color w:val="auto"/>
          <w:sz w:val="30"/>
          <w:szCs w:val="30"/>
          <w:highlight w:val="none"/>
          <w:shd w:val="clear" w:color="auto" w:fill="auto"/>
        </w:rPr>
        <w:t> 地方政府主管部门应</w:t>
      </w:r>
      <w:r>
        <w:rPr>
          <w:rFonts w:hint="eastAsia" w:eastAsia="方正仿宋_GBK" w:cs="方正仿宋_GBK"/>
          <w:color w:val="auto"/>
          <w:sz w:val="30"/>
          <w:szCs w:val="30"/>
          <w:highlight w:val="none"/>
          <w:shd w:val="clear" w:color="auto" w:fill="auto"/>
          <w:lang w:val="en-US" w:eastAsia="zh-CN"/>
        </w:rPr>
        <w:t>随当年企业技术中心认定或评价工作</w:t>
      </w:r>
      <w:r>
        <w:rPr>
          <w:rFonts w:hint="eastAsia" w:ascii="Times New Roman" w:hAnsi="Times New Roman" w:eastAsia="方正仿宋_GBK" w:cs="方正仿宋_GBK"/>
          <w:color w:val="auto"/>
          <w:sz w:val="30"/>
          <w:szCs w:val="30"/>
          <w:highlight w:val="none"/>
          <w:shd w:val="clear" w:color="auto" w:fill="auto"/>
        </w:rPr>
        <w:t>，将企业技术中心所在企业发生更名、重组等变更情况报送国家发展改革委，同时抄送地方同级管理部门。</w:t>
      </w:r>
    </w:p>
    <w:p w14:paraId="2BEC815E">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yellow"/>
          <w:shd w:val="clear" w:color="auto" w:fill="auto"/>
        </w:rPr>
      </w:pPr>
      <w:r>
        <w:rPr>
          <w:rFonts w:hint="eastAsia" w:ascii="Times New Roman" w:hAnsi="Times New Roman" w:eastAsia="方正黑体_GBK" w:cs="方正黑体_GBK"/>
          <w:color w:val="auto"/>
          <w:sz w:val="30"/>
          <w:szCs w:val="30"/>
          <w:highlight w:val="none"/>
          <w:shd w:val="clear" w:color="auto" w:fill="auto"/>
        </w:rPr>
        <w:t>第</w:t>
      </w:r>
      <w:r>
        <w:rPr>
          <w:rFonts w:hint="eastAsia" w:eastAsia="方正黑体_GBK" w:cs="方正黑体_GBK"/>
          <w:color w:val="auto"/>
          <w:sz w:val="30"/>
          <w:szCs w:val="30"/>
          <w:highlight w:val="none"/>
          <w:shd w:val="clear" w:color="auto" w:fill="auto"/>
          <w:lang w:val="en-US" w:eastAsia="zh-CN"/>
        </w:rPr>
        <w:t>二十二</w:t>
      </w:r>
      <w:r>
        <w:rPr>
          <w:rFonts w:hint="eastAsia" w:ascii="Times New Roman" w:hAnsi="Times New Roman" w:eastAsia="黑体" w:cs="黑体"/>
          <w:color w:val="auto"/>
          <w:sz w:val="30"/>
          <w:szCs w:val="30"/>
          <w:highlight w:val="none"/>
          <w:shd w:val="clear" w:color="auto" w:fill="auto"/>
        </w:rPr>
        <w:t>条</w:t>
      </w:r>
      <w:r>
        <w:rPr>
          <w:rFonts w:hint="eastAsia" w:ascii="Times New Roman" w:hAnsi="Times New Roman" w:eastAsia="仿宋" w:cs="仿宋"/>
          <w:color w:val="auto"/>
          <w:sz w:val="30"/>
          <w:szCs w:val="30"/>
          <w:highlight w:val="none"/>
          <w:shd w:val="clear" w:color="auto" w:fill="auto"/>
        </w:rPr>
        <w:t> </w:t>
      </w:r>
      <w:r>
        <w:rPr>
          <w:rFonts w:hint="eastAsia" w:ascii="Times New Roman" w:hAnsi="Times New Roman" w:eastAsia="方正仿宋_GBK" w:cs="方正仿宋_GBK"/>
          <w:color w:val="auto"/>
          <w:sz w:val="30"/>
          <w:szCs w:val="30"/>
          <w:highlight w:val="none"/>
          <w:shd w:val="clear" w:color="auto" w:fill="auto"/>
        </w:rPr>
        <w:t>国家发展改革委</w:t>
      </w:r>
      <w:r>
        <w:rPr>
          <w:rFonts w:hint="eastAsia" w:eastAsia="方正仿宋_GBK" w:cs="方正仿宋_GBK"/>
          <w:color w:val="auto"/>
          <w:sz w:val="30"/>
          <w:szCs w:val="30"/>
          <w:highlight w:val="none"/>
          <w:shd w:val="clear" w:color="auto" w:fill="auto"/>
          <w:lang w:eastAsia="zh-CN"/>
        </w:rPr>
        <w:t>商</w:t>
      </w:r>
      <w:r>
        <w:rPr>
          <w:rFonts w:hint="eastAsia" w:ascii="Times New Roman" w:hAnsi="Times New Roman" w:eastAsia="方正仿宋_GBK" w:cs="方正仿宋_GBK"/>
          <w:color w:val="auto"/>
          <w:sz w:val="30"/>
          <w:szCs w:val="30"/>
          <w:highlight w:val="none"/>
          <w:shd w:val="clear" w:color="auto" w:fill="auto"/>
        </w:rPr>
        <w:t>财政部、海关总署、税务总局，对地方政府主管部门报送的企业变更情况进行确认。</w:t>
      </w:r>
    </w:p>
    <w:p w14:paraId="08448593">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黑体_GBK" w:cs="方正黑体_GBK"/>
          <w:color w:val="auto"/>
          <w:sz w:val="30"/>
          <w:szCs w:val="30"/>
          <w:highlight w:val="none"/>
          <w:shd w:val="clear" w:color="auto" w:fill="auto"/>
        </w:rPr>
        <w:t>第二十</w:t>
      </w:r>
      <w:r>
        <w:rPr>
          <w:rFonts w:hint="eastAsia" w:eastAsia="方正黑体_GBK" w:cs="方正黑体_GBK"/>
          <w:color w:val="auto"/>
          <w:sz w:val="30"/>
          <w:szCs w:val="30"/>
          <w:highlight w:val="none"/>
          <w:shd w:val="clear" w:color="auto" w:fill="auto"/>
          <w:lang w:val="en-US" w:eastAsia="zh-CN"/>
        </w:rPr>
        <w:t>三</w:t>
      </w:r>
      <w:r>
        <w:rPr>
          <w:rFonts w:hint="eastAsia" w:ascii="Times New Roman" w:hAnsi="Times New Roman" w:eastAsia="方正黑体_GBK" w:cs="方正黑体_GBK"/>
          <w:color w:val="auto"/>
          <w:sz w:val="30"/>
          <w:szCs w:val="30"/>
          <w:highlight w:val="none"/>
          <w:shd w:val="clear" w:color="auto" w:fill="auto"/>
        </w:rPr>
        <w:t>条</w:t>
      </w:r>
      <w:r>
        <w:rPr>
          <w:rFonts w:hint="eastAsia" w:ascii="Times New Roman" w:hAnsi="Times New Roman" w:eastAsia="方正仿宋_GBK" w:cs="方正仿宋_GBK"/>
          <w:color w:val="auto"/>
          <w:sz w:val="30"/>
          <w:szCs w:val="30"/>
          <w:highlight w:val="none"/>
          <w:shd w:val="clear" w:color="auto" w:fill="auto"/>
        </w:rPr>
        <w:t> 地方政府主管部门报送的企业材料和数据应当真实可靠。企业提供虚假材料和数据的行为，经核实，将纳入国家统一的信用信息平台。</w:t>
      </w:r>
    </w:p>
    <w:p w14:paraId="1CF86077">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黑体_GBK" w:cs="方正黑体_GBK"/>
          <w:color w:val="auto"/>
          <w:sz w:val="30"/>
          <w:szCs w:val="30"/>
          <w:highlight w:val="none"/>
          <w:shd w:val="clear" w:color="auto" w:fill="auto"/>
        </w:rPr>
        <w:t>第二十</w:t>
      </w:r>
      <w:r>
        <w:rPr>
          <w:rFonts w:hint="eastAsia" w:eastAsia="方正黑体_GBK" w:cs="方正黑体_GBK"/>
          <w:color w:val="auto"/>
          <w:sz w:val="30"/>
          <w:szCs w:val="30"/>
          <w:highlight w:val="none"/>
          <w:shd w:val="clear" w:color="auto" w:fill="auto"/>
          <w:lang w:val="en-US" w:eastAsia="zh-CN"/>
        </w:rPr>
        <w:t>四</w:t>
      </w:r>
      <w:r>
        <w:rPr>
          <w:rFonts w:hint="eastAsia" w:ascii="Times New Roman" w:hAnsi="Times New Roman" w:eastAsia="方正黑体_GBK" w:cs="方正黑体_GBK"/>
          <w:color w:val="auto"/>
          <w:sz w:val="30"/>
          <w:szCs w:val="30"/>
          <w:highlight w:val="none"/>
          <w:shd w:val="clear" w:color="auto" w:fill="auto"/>
        </w:rPr>
        <w:t>条</w:t>
      </w:r>
      <w:r>
        <w:rPr>
          <w:rFonts w:hint="eastAsia" w:ascii="Times New Roman" w:hAnsi="Times New Roman" w:eastAsia="方正仿宋_GBK" w:cs="方正仿宋_GBK"/>
          <w:color w:val="auto"/>
          <w:sz w:val="30"/>
          <w:szCs w:val="30"/>
          <w:highlight w:val="none"/>
          <w:shd w:val="clear" w:color="auto" w:fill="auto"/>
        </w:rPr>
        <w:t> 有下列情况之一的，撤销企业技术中心资格：</w:t>
      </w:r>
    </w:p>
    <w:p w14:paraId="74C577BA">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仿宋_GBK" w:cs="方正仿宋_GBK"/>
          <w:color w:val="auto"/>
          <w:sz w:val="30"/>
          <w:szCs w:val="30"/>
          <w:highlight w:val="none"/>
          <w:shd w:val="clear" w:color="auto" w:fill="auto"/>
        </w:rPr>
        <w:t>（一）运行评价不合格；</w:t>
      </w:r>
    </w:p>
    <w:p w14:paraId="64587711">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仿宋_GBK" w:cs="方正仿宋_GBK"/>
          <w:color w:val="auto"/>
          <w:sz w:val="30"/>
          <w:szCs w:val="30"/>
          <w:highlight w:val="none"/>
          <w:shd w:val="clear" w:color="auto" w:fill="auto"/>
        </w:rPr>
        <w:t>（二）逾期未报送评价材料；</w:t>
      </w:r>
    </w:p>
    <w:p w14:paraId="131117C4">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仿宋_GBK" w:cs="方正仿宋_GBK"/>
          <w:color w:val="auto"/>
          <w:sz w:val="30"/>
          <w:szCs w:val="30"/>
          <w:highlight w:val="none"/>
          <w:shd w:val="clear" w:color="auto" w:fill="auto"/>
        </w:rPr>
        <w:t>（三）提供虚假材料和数据；</w:t>
      </w:r>
    </w:p>
    <w:p w14:paraId="46FFF512">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仿宋_GBK" w:cs="方正仿宋_GBK"/>
          <w:color w:val="auto"/>
          <w:sz w:val="30"/>
          <w:szCs w:val="30"/>
          <w:highlight w:val="none"/>
          <w:shd w:val="clear" w:color="auto" w:fill="auto"/>
        </w:rPr>
        <w:t>（四）主要由于技术原因发生重大质量、安全事故；</w:t>
      </w:r>
    </w:p>
    <w:p w14:paraId="5612FDF4">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仿宋_GBK" w:cs="方正仿宋_GBK"/>
          <w:color w:val="auto"/>
          <w:sz w:val="30"/>
          <w:szCs w:val="30"/>
          <w:highlight w:val="none"/>
          <w:shd w:val="clear" w:color="auto" w:fill="auto"/>
        </w:rPr>
        <w:t>（五）因违反海关法及有关法律、行政法规，构成走私行为，受到刑事、行政处罚，或因严重违反海关监管规定受到行政处罚；</w:t>
      </w:r>
    </w:p>
    <w:p w14:paraId="10A1DAAF">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仿宋_GBK" w:cs="方正仿宋_GBK"/>
          <w:color w:val="auto"/>
          <w:sz w:val="30"/>
          <w:szCs w:val="30"/>
          <w:highlight w:val="none"/>
          <w:shd w:val="clear" w:color="auto" w:fill="auto"/>
        </w:rPr>
        <w:t>（六）因违反税收征管法及有关法律、行政法规，</w:t>
      </w:r>
      <w:r>
        <w:rPr>
          <w:rFonts w:hint="eastAsia" w:eastAsia="方正仿宋_GBK" w:cs="方正仿宋_GBK"/>
          <w:color w:val="auto"/>
          <w:sz w:val="30"/>
          <w:szCs w:val="30"/>
          <w:highlight w:val="none"/>
          <w:shd w:val="clear" w:color="auto" w:fill="auto"/>
          <w:lang w:eastAsia="zh-CN"/>
        </w:rPr>
        <w:t>被确定为重大税收违法失信主体</w:t>
      </w:r>
      <w:r>
        <w:rPr>
          <w:rFonts w:hint="eastAsia" w:ascii="Times New Roman" w:hAnsi="Times New Roman" w:eastAsia="方正仿宋_GBK" w:cs="方正仿宋_GBK"/>
          <w:color w:val="auto"/>
          <w:sz w:val="30"/>
          <w:szCs w:val="30"/>
          <w:highlight w:val="none"/>
          <w:shd w:val="clear" w:color="auto" w:fill="auto"/>
        </w:rPr>
        <w:t>；</w:t>
      </w:r>
    </w:p>
    <w:p w14:paraId="35CD2EC7">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仿宋_GBK" w:cs="方正仿宋_GBK"/>
          <w:color w:val="auto"/>
          <w:sz w:val="30"/>
          <w:szCs w:val="30"/>
          <w:highlight w:val="none"/>
          <w:shd w:val="clear" w:color="auto" w:fill="auto"/>
        </w:rPr>
        <w:t>（七）司法、行政机关认定的其他严重违法失信行为；</w:t>
      </w:r>
    </w:p>
    <w:p w14:paraId="3C9883D0">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仿宋_GBK" w:cs="方正仿宋_GBK"/>
          <w:color w:val="auto"/>
          <w:sz w:val="30"/>
          <w:szCs w:val="30"/>
          <w:highlight w:val="none"/>
          <w:shd w:val="clear" w:color="auto" w:fill="auto"/>
        </w:rPr>
        <w:t>（八）企业被依法终止。</w:t>
      </w:r>
    </w:p>
    <w:p w14:paraId="373B43AC">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黑体_GBK" w:cs="方正黑体_GBK"/>
          <w:color w:val="auto"/>
          <w:sz w:val="30"/>
          <w:szCs w:val="30"/>
          <w:highlight w:val="none"/>
          <w:shd w:val="clear" w:color="auto" w:fill="auto"/>
        </w:rPr>
        <w:t>第二十</w:t>
      </w:r>
      <w:r>
        <w:rPr>
          <w:rFonts w:hint="eastAsia" w:eastAsia="方正黑体_GBK" w:cs="方正黑体_GBK"/>
          <w:color w:val="auto"/>
          <w:sz w:val="30"/>
          <w:szCs w:val="30"/>
          <w:highlight w:val="none"/>
          <w:shd w:val="clear" w:color="auto" w:fill="auto"/>
          <w:lang w:val="en-US" w:eastAsia="zh-CN"/>
        </w:rPr>
        <w:t>五</w:t>
      </w:r>
      <w:r>
        <w:rPr>
          <w:rFonts w:hint="eastAsia" w:ascii="Times New Roman" w:hAnsi="Times New Roman" w:eastAsia="方正黑体_GBK" w:cs="方正黑体_GBK"/>
          <w:color w:val="auto"/>
          <w:sz w:val="30"/>
          <w:szCs w:val="30"/>
          <w:highlight w:val="none"/>
          <w:shd w:val="clear" w:color="auto" w:fill="auto"/>
        </w:rPr>
        <w:t>条</w:t>
      </w:r>
      <w:r>
        <w:rPr>
          <w:rFonts w:hint="eastAsia" w:ascii="Times New Roman" w:hAnsi="Times New Roman" w:eastAsia="方正仿宋_GBK" w:cs="方正仿宋_GBK"/>
          <w:color w:val="auto"/>
          <w:sz w:val="30"/>
          <w:szCs w:val="30"/>
          <w:highlight w:val="none"/>
          <w:shd w:val="clear" w:color="auto" w:fill="auto"/>
        </w:rPr>
        <w:t> 因本办法第</w:t>
      </w:r>
      <w:r>
        <w:rPr>
          <w:rFonts w:hint="eastAsia" w:eastAsia="方正仿宋_GBK" w:cs="方正仿宋_GBK"/>
          <w:color w:val="auto"/>
          <w:sz w:val="30"/>
          <w:szCs w:val="30"/>
          <w:highlight w:val="none"/>
          <w:shd w:val="clear" w:color="auto" w:fill="auto"/>
          <w:lang w:eastAsia="zh-CN"/>
        </w:rPr>
        <w:t>二十四</w:t>
      </w:r>
      <w:r>
        <w:rPr>
          <w:rFonts w:hint="eastAsia" w:ascii="Times New Roman" w:hAnsi="Times New Roman" w:eastAsia="方正仿宋_GBK" w:cs="方正仿宋_GBK"/>
          <w:color w:val="auto"/>
          <w:sz w:val="30"/>
          <w:szCs w:val="30"/>
          <w:highlight w:val="none"/>
          <w:shd w:val="clear" w:color="auto" w:fill="auto"/>
        </w:rPr>
        <w:t>条第（一）、（二）项所列原因被撤销企业技术中心资格的，自撤销之日起，地方政府主管部门两年内不得再次推荐该企业。</w:t>
      </w:r>
    </w:p>
    <w:p w14:paraId="743852B9">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仿宋_GBK" w:cs="方正仿宋_GBK"/>
          <w:color w:val="auto"/>
          <w:sz w:val="30"/>
          <w:szCs w:val="30"/>
          <w:highlight w:val="none"/>
          <w:shd w:val="clear" w:color="auto" w:fill="auto"/>
        </w:rPr>
        <w:t>因本办法第二十</w:t>
      </w:r>
      <w:r>
        <w:rPr>
          <w:rFonts w:hint="eastAsia" w:eastAsia="方正仿宋_GBK" w:cs="方正仿宋_GBK"/>
          <w:color w:val="auto"/>
          <w:sz w:val="30"/>
          <w:szCs w:val="30"/>
          <w:highlight w:val="none"/>
          <w:shd w:val="clear" w:color="auto" w:fill="auto"/>
          <w:lang w:val="en-US" w:eastAsia="zh-CN"/>
        </w:rPr>
        <w:t>四</w:t>
      </w:r>
      <w:r>
        <w:rPr>
          <w:rFonts w:hint="eastAsia" w:ascii="Times New Roman" w:hAnsi="Times New Roman" w:eastAsia="方正仿宋_GBK" w:cs="方正仿宋_GBK"/>
          <w:color w:val="auto"/>
          <w:sz w:val="30"/>
          <w:szCs w:val="30"/>
          <w:highlight w:val="none"/>
          <w:shd w:val="clear" w:color="auto" w:fill="auto"/>
        </w:rPr>
        <w:t>条第（三）～（七）项所列原因被撤销企业技术中心资格的，自撤销之日起，地方政府主管部门三年内不得再次推荐该企业。</w:t>
      </w:r>
    </w:p>
    <w:p w14:paraId="2211C1A9">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仿宋_GBK" w:cs="方正仿宋_GBK"/>
          <w:color w:val="auto"/>
          <w:sz w:val="30"/>
          <w:szCs w:val="30"/>
          <w:highlight w:val="none"/>
          <w:shd w:val="clear" w:color="auto" w:fill="auto"/>
        </w:rPr>
        <w:t>地方政府主管部门负责指导和督促评价基本合格的企业技术中心改进工作。</w:t>
      </w:r>
    </w:p>
    <w:p w14:paraId="2A712875">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黑体_GBK" w:cs="方正黑体_GBK"/>
          <w:color w:val="auto"/>
          <w:sz w:val="30"/>
          <w:szCs w:val="30"/>
          <w:highlight w:val="none"/>
          <w:shd w:val="clear" w:color="auto" w:fill="auto"/>
        </w:rPr>
        <w:t>第二十</w:t>
      </w:r>
      <w:r>
        <w:rPr>
          <w:rFonts w:hint="eastAsia" w:eastAsia="方正黑体_GBK" w:cs="方正黑体_GBK"/>
          <w:color w:val="auto"/>
          <w:sz w:val="30"/>
          <w:szCs w:val="30"/>
          <w:highlight w:val="none"/>
          <w:shd w:val="clear" w:color="auto" w:fill="auto"/>
          <w:lang w:val="en-US" w:eastAsia="zh-CN"/>
        </w:rPr>
        <w:t>六</w:t>
      </w:r>
      <w:r>
        <w:rPr>
          <w:rFonts w:hint="eastAsia" w:ascii="Times New Roman" w:hAnsi="Times New Roman" w:eastAsia="方正黑体_GBK" w:cs="方正黑体_GBK"/>
          <w:color w:val="auto"/>
          <w:sz w:val="30"/>
          <w:szCs w:val="30"/>
          <w:highlight w:val="none"/>
          <w:shd w:val="clear" w:color="auto" w:fill="auto"/>
        </w:rPr>
        <w:t>条</w:t>
      </w:r>
      <w:r>
        <w:rPr>
          <w:rFonts w:hint="eastAsia" w:ascii="Times New Roman" w:hAnsi="Times New Roman" w:eastAsia="方正仿宋_GBK" w:cs="方正仿宋_GBK"/>
          <w:color w:val="auto"/>
          <w:sz w:val="30"/>
          <w:szCs w:val="30"/>
          <w:highlight w:val="none"/>
          <w:shd w:val="clear" w:color="auto" w:fill="auto"/>
        </w:rPr>
        <w:t> 各直属海关对推荐申请企业技术中心的企业和企业技术中心所在企业是否存在本办法第六条第二款第（一）项、第二十</w:t>
      </w:r>
      <w:r>
        <w:rPr>
          <w:rFonts w:hint="eastAsia" w:eastAsia="方正仿宋_GBK" w:cs="方正仿宋_GBK"/>
          <w:color w:val="auto"/>
          <w:sz w:val="30"/>
          <w:szCs w:val="30"/>
          <w:highlight w:val="none"/>
          <w:shd w:val="clear" w:color="auto" w:fill="auto"/>
          <w:lang w:val="en-US" w:eastAsia="zh-CN"/>
        </w:rPr>
        <w:t>四</w:t>
      </w:r>
      <w:r>
        <w:rPr>
          <w:rFonts w:hint="eastAsia" w:ascii="Times New Roman" w:hAnsi="Times New Roman" w:eastAsia="方正仿宋_GBK" w:cs="方正仿宋_GBK"/>
          <w:color w:val="auto"/>
          <w:sz w:val="30"/>
          <w:szCs w:val="30"/>
          <w:highlight w:val="none"/>
          <w:shd w:val="clear" w:color="auto" w:fill="auto"/>
        </w:rPr>
        <w:t>条第（五）项所列情况进行核查，具体核查要求由海关总署另行确定。</w:t>
      </w:r>
    </w:p>
    <w:p w14:paraId="3F18E566">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仿宋_GBK" w:cs="方正仿宋_GBK"/>
          <w:color w:val="auto"/>
          <w:sz w:val="30"/>
          <w:szCs w:val="30"/>
          <w:highlight w:val="none"/>
          <w:shd w:val="clear" w:color="auto" w:fill="auto"/>
        </w:rPr>
        <w:t>税务机关对推荐申请企业技术中心的企业和企业技术中心所在企业是否存在本办法第六条第二款第（二）项、第二十</w:t>
      </w:r>
      <w:r>
        <w:rPr>
          <w:rFonts w:hint="eastAsia" w:eastAsia="方正仿宋_GBK" w:cs="方正仿宋_GBK"/>
          <w:color w:val="auto"/>
          <w:sz w:val="30"/>
          <w:szCs w:val="30"/>
          <w:highlight w:val="none"/>
          <w:shd w:val="clear" w:color="auto" w:fill="auto"/>
          <w:lang w:val="en-US" w:eastAsia="zh-CN"/>
        </w:rPr>
        <w:t>四</w:t>
      </w:r>
      <w:r>
        <w:rPr>
          <w:rFonts w:hint="eastAsia" w:ascii="Times New Roman" w:hAnsi="Times New Roman" w:eastAsia="方正仿宋_GBK" w:cs="方正仿宋_GBK"/>
          <w:color w:val="auto"/>
          <w:sz w:val="30"/>
          <w:szCs w:val="30"/>
          <w:highlight w:val="none"/>
          <w:shd w:val="clear" w:color="auto" w:fill="auto"/>
        </w:rPr>
        <w:t>条第（六）项情况进行核查，具体核查要求由税务总局另行确定。</w:t>
      </w:r>
    </w:p>
    <w:p w14:paraId="0E9F1205">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黑体_GBK" w:cs="方正黑体_GBK"/>
          <w:color w:val="auto"/>
          <w:sz w:val="30"/>
          <w:szCs w:val="30"/>
          <w:highlight w:val="none"/>
          <w:shd w:val="clear" w:color="auto" w:fill="auto"/>
        </w:rPr>
        <w:t>第二十</w:t>
      </w:r>
      <w:r>
        <w:rPr>
          <w:rFonts w:hint="eastAsia" w:eastAsia="方正黑体_GBK" w:cs="方正黑体_GBK"/>
          <w:color w:val="auto"/>
          <w:sz w:val="30"/>
          <w:szCs w:val="30"/>
          <w:highlight w:val="none"/>
          <w:shd w:val="clear" w:color="auto" w:fill="auto"/>
          <w:lang w:val="en-US" w:eastAsia="zh-CN"/>
        </w:rPr>
        <w:t>七</w:t>
      </w:r>
      <w:r>
        <w:rPr>
          <w:rFonts w:hint="eastAsia" w:ascii="Times New Roman" w:hAnsi="Times New Roman" w:eastAsia="方正黑体_GBK" w:cs="方正黑体_GBK"/>
          <w:color w:val="auto"/>
          <w:sz w:val="30"/>
          <w:szCs w:val="30"/>
          <w:highlight w:val="none"/>
          <w:shd w:val="clear" w:color="auto" w:fill="auto"/>
        </w:rPr>
        <w:t>条</w:t>
      </w:r>
      <w:r>
        <w:rPr>
          <w:rFonts w:hint="eastAsia" w:ascii="Times New Roman" w:hAnsi="Times New Roman" w:eastAsia="方正仿宋_GBK" w:cs="方正仿宋_GBK"/>
          <w:color w:val="auto"/>
          <w:sz w:val="30"/>
          <w:szCs w:val="30"/>
          <w:highlight w:val="none"/>
          <w:shd w:val="clear" w:color="auto" w:fill="auto"/>
        </w:rPr>
        <w:t> 国家发展改革委</w:t>
      </w:r>
      <w:r>
        <w:rPr>
          <w:rFonts w:hint="eastAsia" w:eastAsia="方正仿宋_GBK" w:cs="方正仿宋_GBK"/>
          <w:color w:val="auto"/>
          <w:sz w:val="30"/>
          <w:szCs w:val="30"/>
          <w:highlight w:val="none"/>
          <w:shd w:val="clear" w:color="auto" w:fill="auto"/>
          <w:lang w:eastAsia="zh-CN"/>
        </w:rPr>
        <w:t>商</w:t>
      </w:r>
      <w:r>
        <w:rPr>
          <w:rFonts w:hint="eastAsia" w:ascii="Times New Roman" w:hAnsi="Times New Roman" w:eastAsia="方正仿宋_GBK" w:cs="方正仿宋_GBK"/>
          <w:color w:val="auto"/>
          <w:sz w:val="30"/>
          <w:szCs w:val="30"/>
          <w:highlight w:val="none"/>
          <w:shd w:val="clear" w:color="auto" w:fill="auto"/>
        </w:rPr>
        <w:t>财政部、海关总署、税务总局，向地方政府主管部门通报企业技术中心撤销结果。</w:t>
      </w:r>
    </w:p>
    <w:p w14:paraId="369B3280">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default" w:ascii="Times New Roman" w:hAnsi="Times New Roman" w:eastAsia="方正仿宋_GBK" w:cs="方正仿宋_GBK"/>
          <w:color w:val="auto"/>
          <w:sz w:val="30"/>
          <w:szCs w:val="30"/>
          <w:highlight w:val="none"/>
          <w:shd w:val="clear" w:color="auto" w:fill="auto"/>
          <w:lang w:val="en-US" w:eastAsia="zh-CN"/>
        </w:rPr>
      </w:pPr>
      <w:r>
        <w:rPr>
          <w:rFonts w:hint="eastAsia" w:ascii="Times New Roman" w:hAnsi="Times New Roman" w:eastAsia="方正黑体_GBK" w:cs="方正黑体_GBK"/>
          <w:color w:val="auto"/>
          <w:sz w:val="30"/>
          <w:szCs w:val="30"/>
          <w:highlight w:val="none"/>
          <w:shd w:val="clear" w:color="auto" w:fill="auto"/>
          <w:lang w:val="en-US" w:eastAsia="zh-CN"/>
        </w:rPr>
        <w:t>第二十</w:t>
      </w:r>
      <w:r>
        <w:rPr>
          <w:rFonts w:hint="eastAsia" w:eastAsia="方正黑体_GBK" w:cs="方正黑体_GBK"/>
          <w:color w:val="auto"/>
          <w:sz w:val="30"/>
          <w:szCs w:val="30"/>
          <w:highlight w:val="none"/>
          <w:shd w:val="clear" w:color="auto" w:fill="auto"/>
          <w:lang w:val="en-US" w:eastAsia="zh-CN"/>
        </w:rPr>
        <w:t>八</w:t>
      </w:r>
      <w:r>
        <w:rPr>
          <w:rFonts w:hint="eastAsia" w:ascii="Times New Roman" w:hAnsi="Times New Roman" w:eastAsia="方正黑体_GBK" w:cs="方正黑体_GBK"/>
          <w:color w:val="auto"/>
          <w:sz w:val="30"/>
          <w:szCs w:val="30"/>
          <w:highlight w:val="none"/>
          <w:shd w:val="clear" w:color="auto" w:fill="auto"/>
          <w:lang w:val="en-US" w:eastAsia="zh-CN"/>
        </w:rPr>
        <w:t>条</w:t>
      </w:r>
      <w:r>
        <w:rPr>
          <w:rFonts w:hint="eastAsia" w:ascii="仿宋" w:hAnsi="仿宋" w:eastAsia="仿宋" w:cs="仿宋"/>
          <w:color w:val="auto"/>
          <w:kern w:val="0"/>
          <w:sz w:val="30"/>
          <w:szCs w:val="30"/>
          <w:highlight w:val="none"/>
          <w:shd w:val="clear" w:color="auto" w:fill="auto"/>
          <w:lang w:val="en-US" w:eastAsia="zh-CN" w:bidi="ar"/>
        </w:rPr>
        <w:t> </w:t>
      </w:r>
      <w:r>
        <w:rPr>
          <w:rFonts w:hint="eastAsia" w:ascii="Times New Roman" w:hAnsi="Times New Roman" w:eastAsia="方正仿宋_GBK" w:cs="方正仿宋_GBK"/>
          <w:color w:val="auto"/>
          <w:sz w:val="30"/>
          <w:szCs w:val="30"/>
          <w:highlight w:val="none"/>
          <w:shd w:val="clear" w:color="auto" w:fill="auto"/>
        </w:rPr>
        <w:t>地方政府主管部</w:t>
      </w:r>
      <w:r>
        <w:rPr>
          <w:rFonts w:hint="eastAsia" w:eastAsia="方正仿宋_GBK" w:cs="方正仿宋_GBK"/>
          <w:color w:val="auto"/>
          <w:sz w:val="30"/>
          <w:szCs w:val="30"/>
          <w:highlight w:val="none"/>
          <w:shd w:val="clear" w:color="auto" w:fill="auto"/>
          <w:lang w:val="en-US" w:eastAsia="zh-CN"/>
        </w:rPr>
        <w:t>门组织企业技术中心定期向国家发展改革委报送科技创新和关键指标进展（</w:t>
      </w:r>
      <w:r>
        <w:rPr>
          <w:rFonts w:hint="eastAsia" w:ascii="Times New Roman" w:hAnsi="Times New Roman" w:eastAsia="方正仿宋_GBK" w:cs="方正仿宋_GBK"/>
          <w:color w:val="auto"/>
          <w:sz w:val="30"/>
          <w:szCs w:val="30"/>
          <w:highlight w:val="none"/>
          <w:shd w:val="clear" w:color="auto" w:fill="auto"/>
          <w:lang w:val="en-US" w:eastAsia="zh-CN"/>
        </w:rPr>
        <w:t>每年1月底前报送上一年度，7月底前报送当年上</w:t>
      </w:r>
      <w:r>
        <w:rPr>
          <w:rFonts w:hint="eastAsia" w:eastAsia="方正仿宋_GBK" w:cs="方正仿宋_GBK"/>
          <w:color w:val="auto"/>
          <w:sz w:val="30"/>
          <w:szCs w:val="30"/>
          <w:highlight w:val="none"/>
          <w:shd w:val="clear" w:color="auto" w:fill="auto"/>
          <w:lang w:val="en-US" w:eastAsia="zh-CN"/>
        </w:rPr>
        <w:t>半年），企业技术中心有重大科技创新成果时，应及时报送。</w:t>
      </w:r>
    </w:p>
    <w:p w14:paraId="0D003308">
      <w:pPr>
        <w:keepNext w:val="0"/>
        <w:keepLines w:val="0"/>
        <w:pageBreakBefore w:val="0"/>
        <w:shd w:val="clear"/>
        <w:kinsoku/>
        <w:wordWrap/>
        <w:overflowPunct/>
        <w:topLinePunct w:val="0"/>
        <w:autoSpaceDE/>
        <w:autoSpaceDN/>
        <w:bidi w:val="0"/>
        <w:adjustRightInd/>
        <w:snapToGrid/>
        <w:spacing w:before="187" w:beforeLines="60" w:after="187" w:afterLines="60" w:line="588" w:lineRule="exact"/>
        <w:jc w:val="center"/>
        <w:textAlignment w:val="auto"/>
        <w:outlineLvl w:val="0"/>
        <w:rPr>
          <w:rFonts w:ascii="Times New Roman" w:hAnsi="Times New Roman" w:eastAsia="方正黑体_GBK"/>
          <w:color w:val="auto"/>
          <w:sz w:val="30"/>
          <w:szCs w:val="30"/>
          <w:highlight w:val="none"/>
          <w:shd w:val="clear" w:color="auto" w:fill="auto"/>
        </w:rPr>
      </w:pPr>
      <w:r>
        <w:rPr>
          <w:rFonts w:hint="eastAsia" w:ascii="Times New Roman" w:hAnsi="Times New Roman" w:eastAsia="方正黑体_GBK"/>
          <w:color w:val="auto"/>
          <w:sz w:val="30"/>
          <w:szCs w:val="30"/>
          <w:highlight w:val="none"/>
          <w:shd w:val="clear" w:color="auto" w:fill="auto"/>
        </w:rPr>
        <w:t>第六章 附 则</w:t>
      </w:r>
    </w:p>
    <w:p w14:paraId="753A6A7F">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黑体_GBK" w:cs="方正黑体_GBK"/>
          <w:color w:val="auto"/>
          <w:sz w:val="30"/>
          <w:szCs w:val="30"/>
          <w:highlight w:val="none"/>
          <w:shd w:val="clear" w:color="auto" w:fill="auto"/>
        </w:rPr>
        <w:t>第</w:t>
      </w:r>
      <w:r>
        <w:rPr>
          <w:rFonts w:hint="default" w:eastAsia="方正黑体_GBK" w:cs="方正黑体_GBK"/>
          <w:color w:val="auto"/>
          <w:sz w:val="30"/>
          <w:szCs w:val="30"/>
          <w:highlight w:val="none"/>
          <w:shd w:val="clear" w:color="auto" w:fill="auto"/>
          <w:lang w:val="en-US" w:eastAsia="zh-CN"/>
        </w:rPr>
        <w:t>二十</w:t>
      </w:r>
      <w:r>
        <w:rPr>
          <w:rFonts w:hint="eastAsia" w:eastAsia="方正黑体_GBK" w:cs="方正黑体_GBK"/>
          <w:color w:val="auto"/>
          <w:sz w:val="30"/>
          <w:szCs w:val="30"/>
          <w:highlight w:val="none"/>
          <w:shd w:val="clear" w:color="auto" w:fill="auto"/>
          <w:lang w:val="en-US" w:eastAsia="zh-CN"/>
        </w:rPr>
        <w:t>九</w:t>
      </w:r>
      <w:r>
        <w:rPr>
          <w:rFonts w:hint="eastAsia" w:ascii="Times New Roman" w:hAnsi="Times New Roman" w:eastAsia="方正黑体_GBK" w:cs="方正黑体_GBK"/>
          <w:color w:val="auto"/>
          <w:sz w:val="30"/>
          <w:szCs w:val="30"/>
          <w:highlight w:val="none"/>
          <w:shd w:val="clear" w:color="auto" w:fill="auto"/>
        </w:rPr>
        <w:t>条</w:t>
      </w:r>
      <w:r>
        <w:rPr>
          <w:rFonts w:hint="eastAsia" w:ascii="Times New Roman" w:hAnsi="Times New Roman" w:eastAsia="方正仿宋_GBK" w:cs="方正仿宋_GBK"/>
          <w:color w:val="auto"/>
          <w:sz w:val="30"/>
          <w:szCs w:val="30"/>
          <w:highlight w:val="none"/>
          <w:shd w:val="clear" w:color="auto" w:fill="auto"/>
        </w:rPr>
        <w:t> 各地方政府主管部门可参考本办法，结合本地实际，在职责范围内依法制定相应政策，支持企业技术中心建设。</w:t>
      </w:r>
    </w:p>
    <w:p w14:paraId="6F4A0DED">
      <w:pPr>
        <w:pStyle w:val="7"/>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8" w:lineRule="exact"/>
        <w:ind w:firstLine="600" w:firstLineChars="200"/>
        <w:jc w:val="both"/>
        <w:textAlignment w:val="auto"/>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黑体_GBK" w:cs="方正黑体_GBK"/>
          <w:color w:val="auto"/>
          <w:sz w:val="30"/>
          <w:szCs w:val="30"/>
          <w:highlight w:val="none"/>
          <w:shd w:val="clear" w:color="auto" w:fill="auto"/>
        </w:rPr>
        <w:t>第</w:t>
      </w:r>
      <w:r>
        <w:rPr>
          <w:rFonts w:hint="eastAsia" w:eastAsia="方正黑体_GBK" w:cs="方正黑体_GBK"/>
          <w:color w:val="auto"/>
          <w:sz w:val="30"/>
          <w:szCs w:val="30"/>
          <w:highlight w:val="none"/>
          <w:shd w:val="clear" w:color="auto" w:fill="auto"/>
          <w:lang w:eastAsia="zh-CN"/>
        </w:rPr>
        <w:t>三十</w:t>
      </w:r>
      <w:r>
        <w:rPr>
          <w:rFonts w:hint="eastAsia" w:ascii="Times New Roman" w:hAnsi="Times New Roman" w:eastAsia="方正黑体_GBK" w:cs="方正黑体_GBK"/>
          <w:color w:val="auto"/>
          <w:sz w:val="30"/>
          <w:szCs w:val="30"/>
          <w:highlight w:val="none"/>
          <w:shd w:val="clear" w:color="auto" w:fill="auto"/>
        </w:rPr>
        <w:t>条</w:t>
      </w:r>
      <w:r>
        <w:rPr>
          <w:rFonts w:hint="eastAsia" w:ascii="Times New Roman" w:hAnsi="Times New Roman" w:eastAsia="方正仿宋_GBK" w:cs="方正仿宋_GBK"/>
          <w:color w:val="auto"/>
          <w:sz w:val="30"/>
          <w:szCs w:val="30"/>
          <w:highlight w:val="none"/>
          <w:shd w:val="clear" w:color="auto" w:fill="auto"/>
        </w:rPr>
        <w:t> 企业技术中心的认定、运行评价等，逐步实现网上办理。</w:t>
      </w:r>
    </w:p>
    <w:p w14:paraId="79E390D9">
      <w:pPr>
        <w:pStyle w:val="7"/>
        <w:widowControl w:val="0"/>
        <w:shd w:val="clear" w:color="auto"/>
        <w:spacing w:before="0" w:beforeAutospacing="0" w:after="0" w:afterAutospacing="0" w:line="588" w:lineRule="exact"/>
        <w:ind w:firstLine="600" w:firstLineChars="200"/>
        <w:jc w:val="both"/>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黑体_GBK" w:cs="方正黑体_GBK"/>
          <w:color w:val="auto"/>
          <w:sz w:val="30"/>
          <w:szCs w:val="30"/>
          <w:highlight w:val="none"/>
          <w:shd w:val="clear" w:color="auto" w:fill="auto"/>
        </w:rPr>
        <w:t>第三十</w:t>
      </w:r>
      <w:r>
        <w:rPr>
          <w:rFonts w:hint="eastAsia" w:eastAsia="方正黑体_GBK" w:cs="方正黑体_GBK"/>
          <w:color w:val="auto"/>
          <w:sz w:val="30"/>
          <w:szCs w:val="30"/>
          <w:highlight w:val="none"/>
          <w:shd w:val="clear" w:color="auto" w:fill="auto"/>
          <w:lang w:eastAsia="zh-CN"/>
        </w:rPr>
        <w:t>一</w:t>
      </w:r>
      <w:r>
        <w:rPr>
          <w:rFonts w:hint="eastAsia" w:ascii="Times New Roman" w:hAnsi="Times New Roman" w:eastAsia="方正黑体_GBK" w:cs="方正黑体_GBK"/>
          <w:color w:val="auto"/>
          <w:sz w:val="30"/>
          <w:szCs w:val="30"/>
          <w:highlight w:val="none"/>
          <w:shd w:val="clear" w:color="auto" w:fill="auto"/>
        </w:rPr>
        <w:t>条</w:t>
      </w:r>
      <w:r>
        <w:rPr>
          <w:rFonts w:hint="eastAsia" w:ascii="Times New Roman" w:hAnsi="Times New Roman" w:eastAsia="方正仿宋_GBK" w:cs="方正仿宋_GBK"/>
          <w:color w:val="auto"/>
          <w:sz w:val="30"/>
          <w:szCs w:val="30"/>
          <w:highlight w:val="none"/>
          <w:shd w:val="clear" w:color="auto" w:fill="auto"/>
        </w:rPr>
        <w:t> 本办法自</w:t>
      </w:r>
      <w:r>
        <w:rPr>
          <w:rFonts w:hint="eastAsia" w:eastAsia="方正仿宋_GBK" w:cs="方正仿宋_GBK"/>
          <w:color w:val="auto"/>
          <w:sz w:val="30"/>
          <w:szCs w:val="30"/>
          <w:highlight w:val="none"/>
          <w:shd w:val="clear" w:color="auto" w:fill="auto"/>
          <w:lang w:eastAsia="zh-CN"/>
        </w:rPr>
        <w:t>文件印发之</w:t>
      </w:r>
      <w:r>
        <w:rPr>
          <w:rFonts w:hint="eastAsia" w:ascii="Times New Roman" w:hAnsi="Times New Roman" w:eastAsia="方正仿宋_GBK" w:cs="方正仿宋_GBK"/>
          <w:color w:val="auto"/>
          <w:sz w:val="30"/>
          <w:szCs w:val="30"/>
          <w:highlight w:val="none"/>
          <w:shd w:val="clear" w:color="auto" w:fill="auto"/>
        </w:rPr>
        <w:t>日起施行。本办法涉及的申请材料、评价材料和评价指标体系的内容和要求，由国家发展改革委商财政部、海关总署、税务总局后另行发布并适时调整。</w:t>
      </w:r>
    </w:p>
    <w:p w14:paraId="20B8A51E">
      <w:pPr>
        <w:pStyle w:val="7"/>
        <w:widowControl w:val="0"/>
        <w:shd w:val="clear" w:color="auto"/>
        <w:spacing w:before="0" w:beforeAutospacing="0" w:after="0" w:afterAutospacing="0" w:line="588" w:lineRule="exact"/>
        <w:ind w:firstLine="600" w:firstLineChars="200"/>
        <w:jc w:val="both"/>
        <w:rPr>
          <w:rFonts w:hint="eastAsia" w:ascii="Times New Roman" w:hAnsi="Times New Roman" w:eastAsia="方正仿宋_GBK" w:cs="方正仿宋_GBK"/>
          <w:color w:val="auto"/>
          <w:sz w:val="30"/>
          <w:szCs w:val="30"/>
          <w:highlight w:val="none"/>
          <w:shd w:val="clear" w:color="auto" w:fill="auto"/>
        </w:rPr>
      </w:pPr>
      <w:r>
        <w:rPr>
          <w:rFonts w:hint="eastAsia" w:ascii="Times New Roman" w:hAnsi="Times New Roman" w:eastAsia="方正黑体_GBK" w:cs="方正黑体_GBK"/>
          <w:color w:val="auto"/>
          <w:sz w:val="30"/>
          <w:szCs w:val="30"/>
          <w:highlight w:val="none"/>
          <w:shd w:val="clear" w:color="auto" w:fill="auto"/>
        </w:rPr>
        <w:t>第三十</w:t>
      </w:r>
      <w:r>
        <w:rPr>
          <w:rFonts w:hint="eastAsia" w:eastAsia="方正黑体_GBK" w:cs="方正黑体_GBK"/>
          <w:color w:val="auto"/>
          <w:sz w:val="30"/>
          <w:szCs w:val="30"/>
          <w:highlight w:val="none"/>
          <w:shd w:val="clear" w:color="auto" w:fill="auto"/>
          <w:lang w:val="en-US" w:eastAsia="zh-CN"/>
        </w:rPr>
        <w:t>二</w:t>
      </w:r>
      <w:r>
        <w:rPr>
          <w:rFonts w:hint="eastAsia" w:ascii="Times New Roman" w:hAnsi="Times New Roman" w:eastAsia="方正黑体_GBK" w:cs="方正黑体_GBK"/>
          <w:color w:val="auto"/>
          <w:sz w:val="30"/>
          <w:szCs w:val="30"/>
          <w:highlight w:val="none"/>
          <w:shd w:val="clear" w:color="auto" w:fill="auto"/>
        </w:rPr>
        <w:t>条</w:t>
      </w:r>
      <w:r>
        <w:rPr>
          <w:rFonts w:hint="eastAsia" w:ascii="Times New Roman" w:hAnsi="Times New Roman" w:eastAsia="方正仿宋_GBK" w:cs="方正仿宋_GBK"/>
          <w:color w:val="auto"/>
          <w:sz w:val="30"/>
          <w:szCs w:val="30"/>
          <w:highlight w:val="none"/>
          <w:shd w:val="clear" w:color="auto" w:fill="auto"/>
        </w:rPr>
        <w:t> 本办法由国家发展改革委</w:t>
      </w:r>
      <w:r>
        <w:rPr>
          <w:rFonts w:hint="eastAsia" w:eastAsia="方正仿宋_GBK" w:cs="方正仿宋_GBK"/>
          <w:color w:val="auto"/>
          <w:sz w:val="30"/>
          <w:szCs w:val="30"/>
          <w:highlight w:val="none"/>
          <w:shd w:val="clear" w:color="auto" w:fill="auto"/>
          <w:lang w:eastAsia="zh-CN"/>
        </w:rPr>
        <w:t>商</w:t>
      </w:r>
      <w:r>
        <w:rPr>
          <w:rFonts w:hint="eastAsia" w:ascii="Times New Roman" w:hAnsi="Times New Roman" w:eastAsia="方正仿宋_GBK" w:cs="方正仿宋_GBK"/>
          <w:color w:val="auto"/>
          <w:sz w:val="30"/>
          <w:szCs w:val="30"/>
          <w:highlight w:val="none"/>
          <w:shd w:val="clear" w:color="auto" w:fill="auto"/>
        </w:rPr>
        <w:t>财政部、海关总署、税务总局</w:t>
      </w:r>
      <w:r>
        <w:rPr>
          <w:rFonts w:hint="eastAsia" w:eastAsia="方正仿宋_GBK" w:cs="方正仿宋_GBK"/>
          <w:color w:val="auto"/>
          <w:sz w:val="30"/>
          <w:szCs w:val="30"/>
          <w:highlight w:val="none"/>
          <w:shd w:val="clear" w:color="auto" w:fill="auto"/>
          <w:lang w:eastAsia="zh-CN"/>
        </w:rPr>
        <w:t>负责</w:t>
      </w:r>
      <w:r>
        <w:rPr>
          <w:rFonts w:hint="eastAsia" w:ascii="Times New Roman" w:hAnsi="Times New Roman" w:eastAsia="方正仿宋_GBK" w:cs="方正仿宋_GBK"/>
          <w:color w:val="auto"/>
          <w:sz w:val="30"/>
          <w:szCs w:val="30"/>
          <w:highlight w:val="none"/>
          <w:shd w:val="clear" w:color="auto" w:fill="auto"/>
        </w:rPr>
        <w:t>解释。</w:t>
      </w:r>
    </w:p>
    <w:p w14:paraId="36F966B7">
      <w:pPr>
        <w:pStyle w:val="7"/>
        <w:widowControl w:val="0"/>
        <w:shd w:val="clear" w:color="auto"/>
        <w:spacing w:before="0" w:beforeAutospacing="0" w:after="0" w:afterAutospacing="0" w:line="588" w:lineRule="exact"/>
        <w:ind w:firstLine="600" w:firstLineChars="200"/>
        <w:jc w:val="both"/>
        <w:rPr>
          <w:rFonts w:hint="eastAsia" w:ascii="Times New Roman" w:hAnsi="Times New Roman" w:eastAsia="方正仿宋_GBK" w:cs="方正仿宋_GBK"/>
          <w:color w:val="auto"/>
          <w:sz w:val="30"/>
          <w:szCs w:val="30"/>
          <w:highlight w:val="none"/>
          <w:shd w:val="clear" w:color="auto" w:fill="auto"/>
        </w:rPr>
      </w:pPr>
    </w:p>
    <w:p w14:paraId="101FEC05">
      <w:pPr>
        <w:pStyle w:val="7"/>
        <w:widowControl w:val="0"/>
        <w:shd w:val="clear" w:color="auto"/>
        <w:spacing w:before="0" w:beforeAutospacing="0" w:after="0" w:afterAutospacing="0" w:line="588" w:lineRule="exact"/>
        <w:ind w:firstLine="600" w:firstLineChars="200"/>
        <w:jc w:val="both"/>
        <w:rPr>
          <w:rFonts w:hint="eastAsia" w:ascii="Times New Roman" w:hAnsi="Times New Roman" w:eastAsia="方正仿宋_GBK" w:cs="方正仿宋_GBK"/>
          <w:color w:val="auto"/>
          <w:sz w:val="30"/>
          <w:szCs w:val="30"/>
          <w:highlight w:val="none"/>
          <w:shd w:val="clear" w:color="auto" w:fill="auto"/>
        </w:rPr>
      </w:pPr>
    </w:p>
    <w:p w14:paraId="397DB050">
      <w:pPr>
        <w:pStyle w:val="7"/>
        <w:widowControl w:val="0"/>
        <w:shd w:val="clear" w:color="auto"/>
        <w:spacing w:before="0" w:beforeAutospacing="0" w:after="0" w:afterAutospacing="0" w:line="588" w:lineRule="exact"/>
        <w:ind w:firstLine="600" w:firstLineChars="200"/>
        <w:jc w:val="both"/>
        <w:rPr>
          <w:rFonts w:hint="eastAsia" w:eastAsia="方正仿宋_GBK" w:cs="方正仿宋_GBK"/>
          <w:color w:val="auto"/>
          <w:sz w:val="30"/>
          <w:szCs w:val="30"/>
          <w:highlight w:val="none"/>
          <w:shd w:val="clear" w:color="auto" w:fill="auto"/>
          <w:lang w:eastAsia="zh"/>
        </w:rPr>
      </w:pPr>
      <w:r>
        <w:rPr>
          <w:rFonts w:hint="eastAsia" w:eastAsia="方正仿宋_GBK" w:cs="方正仿宋_GBK"/>
          <w:color w:val="auto"/>
          <w:sz w:val="30"/>
          <w:szCs w:val="30"/>
          <w:highlight w:val="none"/>
          <w:shd w:val="clear" w:color="auto" w:fill="auto"/>
          <w:lang w:eastAsia="zh"/>
        </w:rPr>
        <w:t>附件：企业技术中心认定评价工作指南</w:t>
      </w:r>
    </w:p>
    <w:p w14:paraId="5ACE2599">
      <w:pPr>
        <w:pStyle w:val="7"/>
        <w:widowControl w:val="0"/>
        <w:shd w:val="clear" w:color="auto"/>
        <w:spacing w:before="0" w:beforeAutospacing="0" w:after="0" w:afterAutospacing="0" w:line="588" w:lineRule="exact"/>
        <w:ind w:firstLine="600" w:firstLineChars="200"/>
        <w:jc w:val="both"/>
        <w:rPr>
          <w:rFonts w:hint="eastAsia" w:eastAsia="方正仿宋_GBK" w:cs="方正仿宋_GBK"/>
          <w:color w:val="auto"/>
          <w:sz w:val="30"/>
          <w:szCs w:val="30"/>
          <w:highlight w:val="none"/>
          <w:shd w:val="clear" w:color="auto" w:fill="auto"/>
          <w:lang w:eastAsia="zh"/>
        </w:rPr>
        <w:sectPr>
          <w:footerReference r:id="rId3" w:type="default"/>
          <w:pgSz w:w="11906" w:h="16838"/>
          <w:pgMar w:top="1985" w:right="1616" w:bottom="1814" w:left="1616" w:header="851" w:footer="851" w:gutter="0"/>
          <w:pgNumType w:fmt="decimal" w:start="1"/>
          <w:cols w:space="720" w:num="1"/>
          <w:docGrid w:type="lines" w:linePitch="312" w:charSpace="0"/>
        </w:sectPr>
      </w:pPr>
    </w:p>
    <w:p w14:paraId="556AA658">
      <w:pPr>
        <w:bidi w:val="0"/>
        <w:spacing w:line="588" w:lineRule="exact"/>
        <w:ind w:left="0" w:leftChars="0" w:firstLine="0" w:firstLineChars="0"/>
        <w:jc w:val="both"/>
        <w:rPr>
          <w:rFonts w:hint="default" w:ascii="Times New Roman" w:hAnsi="Times New Roman" w:eastAsia="方正仿宋_GBK" w:cs="Times New Roman"/>
          <w:sz w:val="30"/>
          <w:szCs w:val="22"/>
          <w:lang w:val="en-US" w:eastAsia="zh"/>
        </w:rPr>
      </w:pPr>
      <w:r>
        <w:rPr>
          <w:rFonts w:hint="eastAsia" w:ascii="方正黑体_GBK" w:hAnsi="方正黑体_GBK" w:eastAsia="方正黑体_GBK" w:cs="方正黑体_GBK"/>
          <w:sz w:val="30"/>
          <w:szCs w:val="22"/>
          <w:lang w:val="en-US" w:eastAsia="zh"/>
        </w:rPr>
        <w:t>附件</w:t>
      </w:r>
    </w:p>
    <w:p w14:paraId="33120075">
      <w:pPr>
        <w:spacing w:line="560" w:lineRule="exact"/>
        <w:ind w:firstLine="600" w:firstLineChars="200"/>
        <w:jc w:val="center"/>
        <w:rPr>
          <w:rFonts w:hint="eastAsia" w:ascii="Times New Roman" w:hAnsi="Times New Roman" w:eastAsia="仿宋_GB2312" w:cs="Times New Roman"/>
          <w:sz w:val="30"/>
          <w:szCs w:val="30"/>
        </w:rPr>
      </w:pPr>
    </w:p>
    <w:p w14:paraId="656B9D75">
      <w:pPr>
        <w:spacing w:line="360" w:lineRule="auto"/>
        <w:ind w:left="0" w:leftChars="0" w:firstLine="0" w:firstLineChars="0"/>
        <w:jc w:val="center"/>
        <w:rPr>
          <w:rFonts w:hint="eastAsia" w:ascii="方正小标宋简体" w:hAnsi="Times New Roman" w:eastAsia="方正小标宋简体" w:cs="Times New Roman"/>
          <w:sz w:val="40"/>
          <w:szCs w:val="40"/>
        </w:rPr>
      </w:pPr>
      <w:r>
        <w:rPr>
          <w:rFonts w:hint="eastAsia" w:ascii="方正小标宋_GBK" w:hAnsi="方正小标宋_GBK" w:eastAsia="方正小标宋_GBK" w:cs="方正小标宋_GBK"/>
          <w:sz w:val="40"/>
          <w:szCs w:val="40"/>
        </w:rPr>
        <w:t>企业技术中心认定评价工作指南</w:t>
      </w:r>
    </w:p>
    <w:p w14:paraId="79E3B4B2">
      <w:pPr>
        <w:spacing w:line="360" w:lineRule="auto"/>
        <w:ind w:firstLine="723" w:firstLineChars="200"/>
        <w:jc w:val="center"/>
        <w:rPr>
          <w:rFonts w:hint="eastAsia" w:ascii="Times New Roman" w:hAnsi="Times New Roman" w:eastAsia="黑体" w:cs="Times New Roman"/>
          <w:b/>
          <w:sz w:val="36"/>
          <w:szCs w:val="36"/>
        </w:rPr>
      </w:pPr>
    </w:p>
    <w:p w14:paraId="1043CF3A">
      <w:pPr>
        <w:bidi w:val="0"/>
        <w:spacing w:line="588"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方正仿宋_GBK" w:cs="Times New Roman"/>
          <w:sz w:val="30"/>
          <w:szCs w:val="22"/>
        </w:rPr>
        <w:t>为规范</w:t>
      </w:r>
      <w:r>
        <w:rPr>
          <w:rFonts w:hint="eastAsia" w:ascii="Times New Roman" w:hAnsi="Times New Roman" w:eastAsia="方正仿宋_GBK" w:cs="Times New Roman"/>
          <w:sz w:val="30"/>
          <w:szCs w:val="22"/>
          <w:lang w:eastAsia="zh-CN"/>
        </w:rPr>
        <w:t>企业技术中心</w:t>
      </w:r>
      <w:r>
        <w:rPr>
          <w:rFonts w:hint="eastAsia" w:ascii="Times New Roman" w:hAnsi="Times New Roman" w:eastAsia="方正仿宋_GBK" w:cs="Times New Roman"/>
          <w:sz w:val="30"/>
          <w:szCs w:val="22"/>
        </w:rPr>
        <w:t>认定和评价工作，指导企业技术中心编制申请和评价材料，根据</w:t>
      </w:r>
      <w:r>
        <w:rPr>
          <w:rFonts w:hint="eastAsia" w:ascii="Times New Roman" w:hAnsi="Times New Roman" w:eastAsia="方正仿宋_GBK" w:cs="Times New Roman"/>
          <w:sz w:val="30"/>
          <w:szCs w:val="22"/>
          <w:lang w:eastAsia="zh-CN"/>
        </w:rPr>
        <w:t>《企业技术中心</w:t>
      </w:r>
      <w:r>
        <w:rPr>
          <w:rFonts w:hint="eastAsia" w:ascii="Times New Roman" w:hAnsi="Times New Roman" w:eastAsia="方正仿宋_GBK" w:cs="Times New Roman"/>
          <w:sz w:val="30"/>
          <w:szCs w:val="22"/>
        </w:rPr>
        <w:t>管理办法》（以下简称《管理办法》）要求，制订本指南。</w:t>
      </w:r>
    </w:p>
    <w:p w14:paraId="6C6422CD">
      <w:pPr>
        <w:bidi w:val="0"/>
        <w:spacing w:line="588" w:lineRule="exact"/>
        <w:ind w:firstLine="600" w:firstLineChars="200"/>
        <w:rPr>
          <w:rFonts w:hint="eastAsia" w:ascii="Times New Roman" w:hAnsi="Times New Roman" w:eastAsia="方正仿宋_GBK" w:cs="Times New Roman"/>
          <w:sz w:val="30"/>
          <w:szCs w:val="22"/>
        </w:rPr>
      </w:pPr>
      <w:r>
        <w:rPr>
          <w:rFonts w:hint="eastAsia" w:ascii="Times New Roman" w:hAnsi="Times New Roman" w:eastAsia="方正仿宋_GBK" w:cs="Times New Roman"/>
          <w:sz w:val="30"/>
          <w:szCs w:val="22"/>
        </w:rPr>
        <w:t>申请</w:t>
      </w:r>
      <w:r>
        <w:rPr>
          <w:rFonts w:hint="eastAsia" w:ascii="Times New Roman" w:hAnsi="Times New Roman" w:eastAsia="方正仿宋_GBK" w:cs="Times New Roman"/>
          <w:sz w:val="30"/>
          <w:szCs w:val="22"/>
          <w:lang w:eastAsia="zh-CN"/>
        </w:rPr>
        <w:t>企业技术中心</w:t>
      </w:r>
      <w:r>
        <w:rPr>
          <w:rFonts w:hint="eastAsia" w:ascii="Times New Roman" w:hAnsi="Times New Roman" w:eastAsia="方正仿宋_GBK" w:cs="Times New Roman"/>
          <w:sz w:val="30"/>
          <w:szCs w:val="22"/>
        </w:rPr>
        <w:t>的企业，需根据《管理办法》和当年国家发展改革委通知要求，参照本指南编制申请材料。申请材料内容应包括：《</w:t>
      </w:r>
      <w:r>
        <w:rPr>
          <w:rFonts w:hint="eastAsia" w:ascii="Times New Roman" w:hAnsi="Times New Roman" w:eastAsia="方正仿宋_GBK" w:cs="Times New Roman"/>
          <w:sz w:val="30"/>
          <w:szCs w:val="22"/>
          <w:lang w:eastAsia="zh-CN"/>
        </w:rPr>
        <w:t>企业技术中心</w:t>
      </w:r>
      <w:r>
        <w:rPr>
          <w:rFonts w:hint="eastAsia" w:ascii="Times New Roman" w:hAnsi="Times New Roman" w:eastAsia="方正仿宋_GBK" w:cs="Times New Roman"/>
          <w:sz w:val="30"/>
          <w:szCs w:val="22"/>
        </w:rPr>
        <w:t>申请报告》（见附件1）、评价表及必要证明材料（见附件2）。</w:t>
      </w:r>
    </w:p>
    <w:p w14:paraId="6E184EC1">
      <w:pPr>
        <w:bidi w:val="0"/>
        <w:spacing w:line="588" w:lineRule="exact"/>
        <w:ind w:firstLine="600" w:firstLineChars="200"/>
        <w:rPr>
          <w:rFonts w:hint="eastAsia" w:ascii="Times New Roman" w:hAnsi="Times New Roman" w:eastAsia="方正仿宋_GBK" w:cs="Times New Roman"/>
          <w:sz w:val="30"/>
          <w:szCs w:val="22"/>
        </w:rPr>
      </w:pPr>
      <w:r>
        <w:rPr>
          <w:rFonts w:hint="eastAsia" w:ascii="Times New Roman" w:hAnsi="Times New Roman" w:eastAsia="方正仿宋_GBK" w:cs="Times New Roman"/>
          <w:sz w:val="30"/>
          <w:szCs w:val="22"/>
        </w:rPr>
        <w:t>已认定的</w:t>
      </w:r>
      <w:r>
        <w:rPr>
          <w:rFonts w:hint="eastAsia" w:ascii="Times New Roman" w:hAnsi="Times New Roman" w:eastAsia="方正仿宋_GBK" w:cs="Times New Roman"/>
          <w:sz w:val="30"/>
          <w:szCs w:val="22"/>
          <w:lang w:eastAsia="zh-CN"/>
        </w:rPr>
        <w:t>企业技术中心</w:t>
      </w:r>
      <w:r>
        <w:rPr>
          <w:rFonts w:hint="eastAsia" w:ascii="Times New Roman" w:hAnsi="Times New Roman" w:eastAsia="方正仿宋_GBK" w:cs="Times New Roman"/>
          <w:sz w:val="30"/>
          <w:szCs w:val="22"/>
        </w:rPr>
        <w:t>和</w:t>
      </w:r>
      <w:r>
        <w:rPr>
          <w:rFonts w:hint="eastAsia" w:ascii="Times New Roman" w:hAnsi="Times New Roman" w:eastAsia="方正仿宋_GBK" w:cs="Times New Roman"/>
          <w:sz w:val="30"/>
          <w:szCs w:val="22"/>
          <w:lang w:eastAsia="zh-CN"/>
        </w:rPr>
        <w:t>企业技术中心</w:t>
      </w:r>
      <w:r>
        <w:rPr>
          <w:rFonts w:hint="eastAsia" w:ascii="Times New Roman" w:hAnsi="Times New Roman" w:eastAsia="方正仿宋_GBK" w:cs="Times New Roman"/>
          <w:sz w:val="30"/>
          <w:szCs w:val="22"/>
        </w:rPr>
        <w:t>分中心，需参加每两年一次的</w:t>
      </w:r>
      <w:r>
        <w:rPr>
          <w:rFonts w:hint="eastAsia" w:ascii="Times New Roman" w:hAnsi="Times New Roman" w:eastAsia="方正仿宋_GBK" w:cs="Times New Roman"/>
          <w:sz w:val="30"/>
          <w:szCs w:val="22"/>
          <w:lang w:eastAsia="zh-CN"/>
        </w:rPr>
        <w:t>企业技术中心</w:t>
      </w:r>
      <w:r>
        <w:rPr>
          <w:rFonts w:hint="eastAsia" w:ascii="Times New Roman" w:hAnsi="Times New Roman" w:eastAsia="方正仿宋_GBK" w:cs="Times New Roman"/>
          <w:sz w:val="30"/>
          <w:szCs w:val="22"/>
        </w:rPr>
        <w:t>运行评价，参照本指南编制评价材料。评价材料内容应包括：《</w:t>
      </w:r>
      <w:r>
        <w:rPr>
          <w:rFonts w:hint="eastAsia" w:ascii="Times New Roman" w:hAnsi="Times New Roman" w:eastAsia="方正仿宋_GBK" w:cs="Times New Roman"/>
          <w:sz w:val="30"/>
          <w:szCs w:val="22"/>
          <w:lang w:eastAsia="zh-CN"/>
        </w:rPr>
        <w:t>企业技术中心</w:t>
      </w:r>
      <w:r>
        <w:rPr>
          <w:rFonts w:hint="eastAsia" w:ascii="Times New Roman" w:hAnsi="Times New Roman" w:eastAsia="方正仿宋_GBK" w:cs="Times New Roman"/>
          <w:sz w:val="30"/>
          <w:szCs w:val="22"/>
        </w:rPr>
        <w:t>工作总结》（见附件3）、评价表及必要证明材料（见附件2）、享受</w:t>
      </w:r>
      <w:r>
        <w:rPr>
          <w:rFonts w:hint="eastAsia" w:ascii="Times New Roman" w:hAnsi="Times New Roman" w:eastAsia="方正仿宋_GBK" w:cs="Times New Roman"/>
          <w:sz w:val="30"/>
          <w:szCs w:val="22"/>
          <w:lang w:eastAsia="zh-CN"/>
        </w:rPr>
        <w:t>企业技术中心</w:t>
      </w:r>
      <w:r>
        <w:rPr>
          <w:rFonts w:hint="eastAsia" w:ascii="Times New Roman" w:hAnsi="Times New Roman" w:eastAsia="方正仿宋_GBK" w:cs="Times New Roman"/>
          <w:sz w:val="30"/>
          <w:szCs w:val="22"/>
        </w:rPr>
        <w:t>政策情况（见附件4）。</w:t>
      </w:r>
    </w:p>
    <w:p w14:paraId="2602CECD">
      <w:pPr>
        <w:bidi w:val="0"/>
        <w:spacing w:line="588"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方正仿宋_GBK" w:cs="Times New Roman"/>
          <w:sz w:val="30"/>
          <w:szCs w:val="22"/>
        </w:rPr>
        <w:t>国家发展改革委将委托第三方机构，依据评价指标体系（见附件5）对企业技术中心申请材料和评价材料进行评价</w:t>
      </w:r>
      <w:r>
        <w:rPr>
          <w:rFonts w:hint="eastAsia" w:ascii="Times New Roman" w:hAnsi="Times New Roman" w:eastAsia="仿宋_GB2312" w:cs="Times New Roman"/>
          <w:sz w:val="30"/>
          <w:szCs w:val="30"/>
        </w:rPr>
        <w:t>。</w:t>
      </w:r>
    </w:p>
    <w:p w14:paraId="7B7D843E">
      <w:pPr>
        <w:rPr>
          <w:rFonts w:hint="eastAsia" w:ascii="Times New Roman" w:hAnsi="Times New Roman" w:eastAsia="仿宋_GB2312"/>
        </w:rPr>
        <w:sectPr>
          <w:footerReference r:id="rId4" w:type="default"/>
          <w:pgSz w:w="11906" w:h="16838"/>
          <w:pgMar w:top="1440" w:right="1800" w:bottom="1440" w:left="1800" w:header="851" w:footer="992" w:gutter="0"/>
          <w:pgNumType w:fmt="decimal"/>
          <w:cols w:space="720" w:num="1"/>
          <w:docGrid w:type="lines" w:linePitch="312" w:charSpace="0"/>
        </w:sectPr>
      </w:pPr>
    </w:p>
    <w:p w14:paraId="46D77F67">
      <w:pPr>
        <w:spacing w:line="560" w:lineRule="exact"/>
        <w:ind w:left="0" w:leftChars="0" w:firstLine="0" w:firstLineChars="0"/>
        <w:outlineLvl w:val="0"/>
        <w:rPr>
          <w:rFonts w:hint="default" w:ascii="Times New Roman" w:hAnsi="Times New Roman" w:eastAsia="黑体" w:cs="Times New Roman"/>
          <w:sz w:val="30"/>
          <w:szCs w:val="30"/>
          <w:lang w:val="en-US" w:eastAsia="zh"/>
        </w:rPr>
      </w:pPr>
      <w:r>
        <w:rPr>
          <w:rFonts w:ascii="Times New Roman" w:hAnsi="Times New Roman" w:eastAsia="黑体" w:cs="Times New Roman"/>
          <w:sz w:val="30"/>
          <w:szCs w:val="30"/>
        </w:rPr>
        <w:t>附件1</w:t>
      </w:r>
      <w:r>
        <w:rPr>
          <w:rFonts w:hint="eastAsia" w:ascii="Times New Roman" w:hAnsi="Times New Roman" w:eastAsia="黑体" w:cs="Times New Roman"/>
          <w:sz w:val="30"/>
          <w:szCs w:val="30"/>
          <w:lang w:val="en-US" w:eastAsia="zh"/>
        </w:rPr>
        <w:t>-1</w:t>
      </w:r>
    </w:p>
    <w:p w14:paraId="112D0B8F">
      <w:pPr>
        <w:spacing w:before="624" w:beforeLines="200" w:after="624" w:afterLines="200" w:line="560" w:lineRule="exact"/>
        <w:ind w:left="0" w:leftChars="0" w:firstLine="0" w:firstLineChars="0"/>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《企业技术中心申请报告》编写提纲</w:t>
      </w:r>
    </w:p>
    <w:p w14:paraId="38607FCC">
      <w:pPr>
        <w:spacing w:before="156" w:beforeLines="50" w:after="156" w:afterLines="50" w:line="560" w:lineRule="exact"/>
        <w:ind w:firstLine="600" w:firstLineChars="200"/>
        <w:outlineLvl w:val="1"/>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一、企业的地位和作用</w:t>
      </w:r>
    </w:p>
    <w:p w14:paraId="1B6FE42D">
      <w:pPr>
        <w:bidi w:val="0"/>
        <w:spacing w:line="588" w:lineRule="exact"/>
        <w:ind w:firstLine="600" w:firstLineChars="200"/>
        <w:rPr>
          <w:rFonts w:hint="eastAsia" w:ascii="Times New Roman" w:hAnsi="Times New Roman" w:eastAsia="方正仿宋_GBK" w:cs="Times New Roman"/>
          <w:sz w:val="30"/>
          <w:szCs w:val="22"/>
        </w:rPr>
      </w:pPr>
      <w:r>
        <w:rPr>
          <w:rFonts w:hint="eastAsia" w:ascii="Times New Roman" w:hAnsi="Times New Roman" w:eastAsia="方正仿宋_GBK" w:cs="Times New Roman"/>
          <w:sz w:val="30"/>
          <w:szCs w:val="22"/>
        </w:rPr>
        <w:t>1．企业基本情况。包括所有制性质、主要下属企业，职工人数、企业总资产、资产负债率、银行信用等级、销售收入、利润、主导产品及市场占有率等。</w:t>
      </w:r>
    </w:p>
    <w:p w14:paraId="08B9BA43">
      <w:pPr>
        <w:bidi w:val="0"/>
        <w:spacing w:line="588" w:lineRule="exact"/>
        <w:ind w:firstLine="600" w:firstLineChars="200"/>
        <w:rPr>
          <w:rFonts w:hint="eastAsia" w:ascii="Times New Roman" w:hAnsi="Times New Roman" w:eastAsia="方正仿宋_GBK" w:cs="Times New Roman"/>
          <w:sz w:val="30"/>
          <w:szCs w:val="22"/>
        </w:rPr>
      </w:pPr>
      <w:r>
        <w:rPr>
          <w:rFonts w:hint="eastAsia" w:ascii="Times New Roman" w:hAnsi="Times New Roman" w:eastAsia="方正仿宋_GBK" w:cs="Times New Roman"/>
          <w:sz w:val="30"/>
          <w:szCs w:val="22"/>
        </w:rPr>
        <w:t>2．企业的行业地位和竞争力。结合行业集中度和企业在行业中的综合排序，分析企业在本行业的领先地位和竞争优势，与国际同行业企业相比所具有的规模和技术优势。</w:t>
      </w:r>
    </w:p>
    <w:p w14:paraId="5970D637">
      <w:pPr>
        <w:bidi w:val="0"/>
        <w:spacing w:line="588" w:lineRule="exact"/>
        <w:ind w:firstLine="600" w:firstLineChars="200"/>
        <w:rPr>
          <w:rFonts w:hint="eastAsia" w:ascii="Times New Roman" w:hAnsi="Times New Roman" w:eastAsia="方正仿宋_GBK" w:cs="Times New Roman"/>
          <w:sz w:val="30"/>
          <w:szCs w:val="22"/>
        </w:rPr>
      </w:pPr>
      <w:r>
        <w:rPr>
          <w:rFonts w:hint="eastAsia" w:ascii="Times New Roman" w:hAnsi="Times New Roman" w:eastAsia="方正仿宋_GBK" w:cs="Times New Roman"/>
          <w:sz w:val="30"/>
          <w:szCs w:val="22"/>
        </w:rPr>
        <w:t>3．企业对本行业技术创新的引领作用。包括企业对行业技术进步、结构调整、节能减排、资源节约综合利用等方面的示范和带动作用。</w:t>
      </w:r>
    </w:p>
    <w:p w14:paraId="494E998F">
      <w:pPr>
        <w:spacing w:before="156" w:beforeLines="50" w:after="156" w:afterLines="50" w:line="560" w:lineRule="exact"/>
        <w:ind w:firstLine="600" w:firstLineChars="200"/>
        <w:outlineLvl w:val="1"/>
        <w:rPr>
          <w:rFonts w:hint="eastAsia" w:ascii="黑体" w:hAnsi="Times New Roman" w:eastAsia="黑体" w:cs="Times New Roman"/>
          <w:sz w:val="30"/>
          <w:szCs w:val="30"/>
        </w:rPr>
      </w:pPr>
      <w:r>
        <w:rPr>
          <w:rFonts w:hint="eastAsia" w:ascii="方正黑体_GBK" w:hAnsi="方正黑体_GBK" w:eastAsia="方正黑体_GBK" w:cs="方正黑体_GBK"/>
          <w:sz w:val="30"/>
          <w:szCs w:val="30"/>
        </w:rPr>
        <w:t>二、企业技术创新的现状和成绩</w:t>
      </w:r>
    </w:p>
    <w:p w14:paraId="3AAACDD0">
      <w:pPr>
        <w:bidi w:val="0"/>
        <w:spacing w:line="588" w:lineRule="exact"/>
        <w:ind w:firstLine="600" w:firstLineChars="200"/>
        <w:rPr>
          <w:rFonts w:hint="eastAsia" w:ascii="Times New Roman" w:hAnsi="Times New Roman" w:eastAsia="方正仿宋_GBK" w:cs="Times New Roman"/>
          <w:sz w:val="30"/>
          <w:szCs w:val="22"/>
        </w:rPr>
      </w:pPr>
      <w:r>
        <w:rPr>
          <w:rFonts w:hint="eastAsia" w:ascii="Times New Roman" w:hAnsi="Times New Roman" w:eastAsia="方正仿宋_GBK" w:cs="Times New Roman"/>
          <w:sz w:val="30"/>
          <w:szCs w:val="22"/>
        </w:rPr>
        <w:t>1．企业技术中心基本情况。包括企业技术中心的建设与发展历程、组织架构；创新体系建设和运行机制，包括组织管理体系建设、规章制度建立、研发项目组织管理机制、研发经费管理机制、人才激励机制、内外部合作机制等。</w:t>
      </w:r>
    </w:p>
    <w:p w14:paraId="77EA90F9">
      <w:pPr>
        <w:bidi w:val="0"/>
        <w:spacing w:line="588" w:lineRule="exact"/>
        <w:ind w:firstLine="600" w:firstLineChars="200"/>
        <w:rPr>
          <w:rFonts w:hint="eastAsia" w:ascii="Times New Roman" w:hAnsi="Times New Roman" w:eastAsia="方正仿宋_GBK" w:cs="Times New Roman"/>
          <w:sz w:val="30"/>
          <w:szCs w:val="22"/>
        </w:rPr>
      </w:pPr>
      <w:r>
        <w:rPr>
          <w:rFonts w:hint="eastAsia" w:ascii="Times New Roman" w:hAnsi="Times New Roman" w:eastAsia="方正仿宋_GBK" w:cs="Times New Roman"/>
          <w:sz w:val="30"/>
          <w:szCs w:val="22"/>
        </w:rPr>
        <w:t>2．企业技术中心创新资源整合情况。包括企业技术中心技术带头人及创新团队建设情况、研发经费投入情况、研究开发和试验基础条件建设情况、信息化建设情况等。</w:t>
      </w:r>
    </w:p>
    <w:p w14:paraId="7D748D70">
      <w:pPr>
        <w:bidi w:val="0"/>
        <w:spacing w:line="588" w:lineRule="exact"/>
        <w:ind w:firstLine="600" w:firstLineChars="200"/>
        <w:rPr>
          <w:rFonts w:hint="eastAsia" w:ascii="Times New Roman" w:hAnsi="Times New Roman" w:eastAsia="方正仿宋_GBK" w:cs="Times New Roman"/>
          <w:sz w:val="30"/>
          <w:szCs w:val="22"/>
        </w:rPr>
      </w:pPr>
      <w:r>
        <w:rPr>
          <w:rFonts w:hint="eastAsia" w:ascii="Times New Roman" w:hAnsi="Times New Roman" w:eastAsia="方正仿宋_GBK" w:cs="Times New Roman"/>
          <w:sz w:val="30"/>
          <w:szCs w:val="22"/>
        </w:rPr>
        <w:t>3．企业技术中心研究开发工作开展情况。包括重大产品创新、工艺创新、商业模式创新、产学研合作、企业间合作、国际化研发活动等。</w:t>
      </w:r>
    </w:p>
    <w:p w14:paraId="66BD6BAF">
      <w:pPr>
        <w:bidi w:val="0"/>
        <w:spacing w:line="588" w:lineRule="exact"/>
        <w:ind w:firstLine="600" w:firstLineChars="200"/>
        <w:rPr>
          <w:rFonts w:hint="eastAsia" w:ascii="Times New Roman" w:hAnsi="Times New Roman" w:eastAsia="方正仿宋_GBK" w:cs="Times New Roman"/>
          <w:sz w:val="30"/>
          <w:szCs w:val="22"/>
        </w:rPr>
      </w:pPr>
      <w:r>
        <w:rPr>
          <w:rFonts w:hint="eastAsia" w:ascii="Times New Roman" w:hAnsi="Times New Roman" w:eastAsia="方正仿宋_GBK" w:cs="Times New Roman"/>
          <w:sz w:val="30"/>
          <w:szCs w:val="22"/>
        </w:rPr>
        <w:t>4．企业技术中心取得的主要创新成果。形成的核心技术及自主知识产权情况，重点介绍相关技术成果对企业核心产品研发、核心竞争力提升的支撑作用，以及取得的经济社会效益。</w:t>
      </w:r>
    </w:p>
    <w:p w14:paraId="5888F82A">
      <w:pPr>
        <w:spacing w:before="156" w:beforeLines="50" w:after="156" w:afterLines="50" w:line="560" w:lineRule="exact"/>
        <w:ind w:firstLine="600" w:firstLineChars="200"/>
        <w:outlineLvl w:val="1"/>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三、企业技术创新战略和规划</w:t>
      </w:r>
    </w:p>
    <w:p w14:paraId="6CEA6638">
      <w:pPr>
        <w:bidi w:val="0"/>
        <w:spacing w:line="588" w:lineRule="exact"/>
        <w:ind w:firstLine="600" w:firstLineChars="200"/>
        <w:rPr>
          <w:rFonts w:hint="eastAsia" w:ascii="Times New Roman" w:hAnsi="Times New Roman" w:eastAsia="方正仿宋_GBK" w:cs="Times New Roman"/>
          <w:sz w:val="30"/>
          <w:szCs w:val="22"/>
        </w:rPr>
      </w:pPr>
      <w:r>
        <w:rPr>
          <w:rFonts w:hint="eastAsia" w:ascii="Times New Roman" w:hAnsi="Times New Roman" w:eastAsia="方正仿宋_GBK" w:cs="Times New Roman"/>
          <w:sz w:val="30"/>
          <w:szCs w:val="22"/>
        </w:rPr>
        <w:t>1．企业制定未来5～10年技术创新发展战略情况，及该战略对企业总体发展目标的支撑情况。</w:t>
      </w:r>
    </w:p>
    <w:p w14:paraId="6EA07999">
      <w:pPr>
        <w:bidi w:val="0"/>
        <w:spacing w:line="588"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方正仿宋_GBK" w:cs="Times New Roman"/>
          <w:sz w:val="30"/>
          <w:szCs w:val="22"/>
        </w:rPr>
        <w:t>2．企业近期在技术创新方面拟实施的重点举措，包括创新条件建设、创新人才集聚、重点研发项目部署等</w:t>
      </w:r>
      <w:r>
        <w:rPr>
          <w:rFonts w:hint="eastAsia" w:ascii="Times New Roman" w:hAnsi="Times New Roman" w:eastAsia="仿宋_GB2312" w:cs="Times New Roman"/>
          <w:sz w:val="30"/>
          <w:szCs w:val="30"/>
        </w:rPr>
        <w:t>。</w:t>
      </w:r>
    </w:p>
    <w:p w14:paraId="4B282D5C">
      <w:pPr>
        <w:pStyle w:val="2"/>
        <w:spacing w:before="120" w:after="120" w:line="560" w:lineRule="exact"/>
        <w:ind w:firstLine="596" w:firstLineChars="198"/>
        <w:rPr>
          <w:rFonts w:hint="eastAsia" w:ascii="Times New Roman" w:hAnsi="Times New Roman" w:eastAsia="仿宋_GB2312"/>
          <w:sz w:val="30"/>
          <w:szCs w:val="30"/>
        </w:rPr>
        <w:sectPr>
          <w:pgSz w:w="11906" w:h="16838"/>
          <w:pgMar w:top="1440" w:right="1800" w:bottom="1440" w:left="1800" w:header="851" w:footer="992" w:gutter="0"/>
          <w:pgNumType w:fmt="decimal"/>
          <w:cols w:space="720" w:num="1"/>
          <w:docGrid w:type="lines" w:linePitch="312" w:charSpace="0"/>
        </w:sectPr>
      </w:pPr>
    </w:p>
    <w:p w14:paraId="4898DCF3">
      <w:pPr>
        <w:spacing w:line="560" w:lineRule="exact"/>
        <w:ind w:left="0" w:leftChars="0" w:firstLine="0" w:firstLineChars="0"/>
        <w:outlineLvl w:val="0"/>
        <w:rPr>
          <w:rFonts w:hint="default" w:ascii="Times New Roman" w:hAnsi="Times New Roman" w:eastAsia="方正黑体_GBK" w:cs="Times New Roman"/>
          <w:sz w:val="30"/>
          <w:szCs w:val="30"/>
          <w:lang w:val="en-US" w:eastAsia="zh"/>
        </w:rPr>
      </w:pPr>
      <w:r>
        <w:rPr>
          <w:rFonts w:ascii="Times New Roman" w:hAnsi="Times New Roman" w:eastAsia="黑体" w:cs="Times New Roman"/>
          <w:sz w:val="30"/>
          <w:szCs w:val="30"/>
        </w:rPr>
        <w:t>附件</w:t>
      </w:r>
      <w:r>
        <w:rPr>
          <w:rFonts w:hint="eastAsia" w:ascii="Times New Roman" w:hAnsi="Times New Roman" w:eastAsia="黑体" w:cs="Times New Roman"/>
          <w:sz w:val="30"/>
          <w:szCs w:val="30"/>
          <w:lang w:val="en-US" w:eastAsia="zh"/>
        </w:rPr>
        <w:t>1</w:t>
      </w:r>
      <w:r>
        <w:rPr>
          <w:rFonts w:hint="eastAsia" w:ascii="Times New Roman" w:hAnsi="Times New Roman" w:eastAsia="方正黑体_GBK" w:cs="Times New Roman"/>
          <w:sz w:val="30"/>
          <w:szCs w:val="30"/>
          <w:lang w:val="en-US" w:eastAsia="zh"/>
        </w:rPr>
        <w:t>-</w:t>
      </w:r>
      <w:r>
        <w:rPr>
          <w:rFonts w:hint="default" w:ascii="Times New Roman" w:hAnsi="Times New Roman" w:eastAsia="方正黑体_GBK" w:cs="Times New Roman"/>
          <w:sz w:val="30"/>
          <w:szCs w:val="30"/>
          <w:lang w:val="en-US" w:eastAsia="zh"/>
        </w:rPr>
        <w:t>2</w:t>
      </w:r>
    </w:p>
    <w:p w14:paraId="6F8123F1">
      <w:pPr>
        <w:spacing w:before="312" w:beforeLines="100" w:after="312" w:afterLines="100" w:line="560" w:lineRule="exact"/>
        <w:ind w:left="0" w:leftChars="0" w:firstLine="0" w:firstLineChars="0"/>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lang w:eastAsia="zh-CN"/>
        </w:rPr>
        <w:t>企业技术中心</w:t>
      </w:r>
      <w:r>
        <w:rPr>
          <w:rFonts w:hint="eastAsia" w:ascii="方正小标宋_GBK" w:hAnsi="方正小标宋_GBK" w:eastAsia="方正小标宋_GBK" w:cs="方正小标宋_GBK"/>
          <w:sz w:val="40"/>
          <w:szCs w:val="40"/>
        </w:rPr>
        <w:t>评价材料</w:t>
      </w:r>
    </w:p>
    <w:p w14:paraId="3B581A94">
      <w:pPr>
        <w:spacing w:before="156" w:beforeLines="50" w:after="156" w:afterLines="50" w:line="560" w:lineRule="exact"/>
        <w:ind w:firstLine="600" w:firstLineChars="200"/>
        <w:outlineLvl w:val="1"/>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一、</w:t>
      </w:r>
      <w:r>
        <w:rPr>
          <w:rFonts w:hint="eastAsia" w:ascii="方正黑体_GBK" w:hAnsi="方正黑体_GBK" w:eastAsia="方正黑体_GBK" w:cs="方正黑体_GBK"/>
          <w:sz w:val="30"/>
          <w:szCs w:val="30"/>
          <w:lang w:eastAsia="zh-CN"/>
        </w:rPr>
        <w:t>企业技术中心</w:t>
      </w:r>
      <w:r>
        <w:rPr>
          <w:rFonts w:hint="eastAsia" w:ascii="方正黑体_GBK" w:hAnsi="方正黑体_GBK" w:eastAsia="方正黑体_GBK" w:cs="方正黑体_GBK"/>
          <w:sz w:val="30"/>
          <w:szCs w:val="30"/>
        </w:rPr>
        <w:t>评价数据表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080"/>
        <w:gridCol w:w="2597"/>
        <w:gridCol w:w="1440"/>
        <w:gridCol w:w="900"/>
        <w:gridCol w:w="1428"/>
      </w:tblGrid>
      <w:tr w14:paraId="2AA1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1774" w:type="dxa"/>
            <w:gridSpan w:val="2"/>
            <w:noWrap w:val="0"/>
            <w:vAlign w:val="center"/>
          </w:tcPr>
          <w:p w14:paraId="56B9A2AE">
            <w:pPr>
              <w:spacing w:line="280" w:lineRule="exact"/>
              <w:ind w:left="0" w:leftChars="0" w:firstLine="0" w:firstLineChars="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企业名称</w:t>
            </w:r>
          </w:p>
        </w:tc>
        <w:tc>
          <w:tcPr>
            <w:tcW w:w="6365" w:type="dxa"/>
            <w:gridSpan w:val="4"/>
            <w:noWrap w:val="0"/>
            <w:vAlign w:val="center"/>
          </w:tcPr>
          <w:p w14:paraId="7A67D1D4">
            <w:pPr>
              <w:spacing w:line="280" w:lineRule="exact"/>
              <w:ind w:left="0" w:leftChars="0" w:firstLine="0" w:firstLineChars="0"/>
              <w:rPr>
                <w:rFonts w:hint="eastAsia" w:ascii="方正仿宋_GBK" w:hAnsi="方正仿宋_GBK" w:eastAsia="方正仿宋_GBK" w:cs="方正仿宋_GBK"/>
                <w:sz w:val="21"/>
                <w:szCs w:val="21"/>
              </w:rPr>
            </w:pPr>
          </w:p>
        </w:tc>
      </w:tr>
      <w:tr w14:paraId="46CE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1774" w:type="dxa"/>
            <w:gridSpan w:val="2"/>
            <w:noWrap w:val="0"/>
            <w:vAlign w:val="center"/>
          </w:tcPr>
          <w:p w14:paraId="4447304E">
            <w:pPr>
              <w:spacing w:line="280" w:lineRule="exact"/>
              <w:ind w:left="0" w:leftChars="0" w:firstLine="0" w:firstLineChars="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通讯地址</w:t>
            </w:r>
          </w:p>
        </w:tc>
        <w:tc>
          <w:tcPr>
            <w:tcW w:w="2597" w:type="dxa"/>
            <w:noWrap w:val="0"/>
            <w:vAlign w:val="center"/>
          </w:tcPr>
          <w:p w14:paraId="35D42896">
            <w:pPr>
              <w:spacing w:line="280" w:lineRule="exact"/>
              <w:ind w:left="0" w:leftChars="0" w:firstLine="0" w:firstLineChars="0"/>
              <w:rPr>
                <w:rFonts w:hint="eastAsia" w:ascii="方正仿宋_GBK" w:hAnsi="方正仿宋_GBK" w:eastAsia="方正仿宋_GBK" w:cs="方正仿宋_GBK"/>
                <w:sz w:val="21"/>
                <w:szCs w:val="21"/>
              </w:rPr>
            </w:pPr>
          </w:p>
        </w:tc>
        <w:tc>
          <w:tcPr>
            <w:tcW w:w="2340" w:type="dxa"/>
            <w:gridSpan w:val="2"/>
            <w:noWrap w:val="0"/>
            <w:vAlign w:val="center"/>
          </w:tcPr>
          <w:p w14:paraId="76878BF5">
            <w:pPr>
              <w:spacing w:line="280" w:lineRule="exact"/>
              <w:ind w:left="0" w:leftChars="0" w:firstLine="0" w:firstLineChars="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下属企业数量</w:t>
            </w:r>
          </w:p>
        </w:tc>
        <w:tc>
          <w:tcPr>
            <w:tcW w:w="1428" w:type="dxa"/>
            <w:noWrap w:val="0"/>
            <w:vAlign w:val="center"/>
          </w:tcPr>
          <w:p w14:paraId="26ADE5B0">
            <w:pPr>
              <w:spacing w:line="280" w:lineRule="exact"/>
              <w:ind w:firstLine="420" w:firstLineChars="200"/>
              <w:rPr>
                <w:rFonts w:hint="eastAsia" w:ascii="方正仿宋_GBK" w:hAnsi="方正仿宋_GBK" w:eastAsia="方正仿宋_GBK" w:cs="方正仿宋_GBK"/>
                <w:sz w:val="21"/>
                <w:szCs w:val="21"/>
              </w:rPr>
            </w:pPr>
          </w:p>
        </w:tc>
      </w:tr>
      <w:tr w14:paraId="474B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1774" w:type="dxa"/>
            <w:gridSpan w:val="2"/>
            <w:noWrap w:val="0"/>
            <w:vAlign w:val="center"/>
          </w:tcPr>
          <w:p w14:paraId="2F1F199C">
            <w:pPr>
              <w:spacing w:line="280" w:lineRule="exact"/>
              <w:ind w:left="0" w:leftChars="0" w:firstLine="0" w:firstLineChars="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主营业务</w:t>
            </w:r>
          </w:p>
        </w:tc>
        <w:tc>
          <w:tcPr>
            <w:tcW w:w="2597" w:type="dxa"/>
            <w:noWrap w:val="0"/>
            <w:vAlign w:val="center"/>
          </w:tcPr>
          <w:p w14:paraId="26C35B7B">
            <w:pPr>
              <w:spacing w:line="280" w:lineRule="exact"/>
              <w:ind w:left="0" w:leftChars="0" w:firstLine="0" w:firstLineChars="0"/>
              <w:rPr>
                <w:rFonts w:hint="eastAsia" w:ascii="方正仿宋_GBK" w:hAnsi="方正仿宋_GBK" w:eastAsia="方正仿宋_GBK" w:cs="方正仿宋_GBK"/>
                <w:sz w:val="21"/>
                <w:szCs w:val="21"/>
              </w:rPr>
            </w:pPr>
          </w:p>
        </w:tc>
        <w:tc>
          <w:tcPr>
            <w:tcW w:w="2340" w:type="dxa"/>
            <w:gridSpan w:val="2"/>
            <w:noWrap w:val="0"/>
            <w:vAlign w:val="center"/>
          </w:tcPr>
          <w:p w14:paraId="032498D2">
            <w:pPr>
              <w:spacing w:line="280" w:lineRule="exact"/>
              <w:ind w:left="0" w:leftChars="0" w:firstLine="0" w:firstLineChars="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统计行业代码</w:t>
            </w:r>
          </w:p>
        </w:tc>
        <w:tc>
          <w:tcPr>
            <w:tcW w:w="1428" w:type="dxa"/>
            <w:noWrap w:val="0"/>
            <w:vAlign w:val="center"/>
          </w:tcPr>
          <w:p w14:paraId="580DD668">
            <w:pPr>
              <w:spacing w:line="280" w:lineRule="exact"/>
              <w:ind w:firstLine="420" w:firstLineChars="200"/>
              <w:rPr>
                <w:rFonts w:hint="eastAsia" w:ascii="方正仿宋_GBK" w:hAnsi="方正仿宋_GBK" w:eastAsia="方正仿宋_GBK" w:cs="方正仿宋_GBK"/>
                <w:sz w:val="21"/>
                <w:szCs w:val="21"/>
              </w:rPr>
            </w:pPr>
          </w:p>
        </w:tc>
      </w:tr>
      <w:tr w14:paraId="2D5F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1774" w:type="dxa"/>
            <w:gridSpan w:val="2"/>
            <w:noWrap w:val="0"/>
            <w:vAlign w:val="center"/>
          </w:tcPr>
          <w:p w14:paraId="422252AA">
            <w:pPr>
              <w:spacing w:line="280" w:lineRule="exact"/>
              <w:ind w:left="0" w:leftChars="0" w:firstLine="0" w:firstLineChars="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企业负责人</w:t>
            </w:r>
          </w:p>
        </w:tc>
        <w:tc>
          <w:tcPr>
            <w:tcW w:w="2597" w:type="dxa"/>
            <w:noWrap w:val="0"/>
            <w:vAlign w:val="center"/>
          </w:tcPr>
          <w:p w14:paraId="5E33C070">
            <w:pPr>
              <w:spacing w:line="280" w:lineRule="exact"/>
              <w:ind w:left="0" w:leftChars="0" w:firstLine="0" w:firstLineChars="0"/>
              <w:rPr>
                <w:rFonts w:hint="eastAsia" w:ascii="方正仿宋_GBK" w:hAnsi="方正仿宋_GBK" w:eastAsia="方正仿宋_GBK" w:cs="方正仿宋_GBK"/>
                <w:sz w:val="21"/>
                <w:szCs w:val="21"/>
              </w:rPr>
            </w:pPr>
          </w:p>
        </w:tc>
        <w:tc>
          <w:tcPr>
            <w:tcW w:w="2340" w:type="dxa"/>
            <w:gridSpan w:val="2"/>
            <w:noWrap w:val="0"/>
            <w:vAlign w:val="center"/>
          </w:tcPr>
          <w:p w14:paraId="06BAE633">
            <w:pPr>
              <w:spacing w:line="280" w:lineRule="exact"/>
              <w:ind w:left="0" w:leftChars="0" w:firstLine="0" w:firstLineChars="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联系电话</w:t>
            </w:r>
          </w:p>
        </w:tc>
        <w:tc>
          <w:tcPr>
            <w:tcW w:w="1428" w:type="dxa"/>
            <w:noWrap w:val="0"/>
            <w:vAlign w:val="center"/>
          </w:tcPr>
          <w:p w14:paraId="3D7A922F">
            <w:pPr>
              <w:spacing w:line="280" w:lineRule="exact"/>
              <w:ind w:firstLine="420" w:firstLineChars="200"/>
              <w:rPr>
                <w:rFonts w:hint="eastAsia" w:ascii="方正仿宋_GBK" w:hAnsi="方正仿宋_GBK" w:eastAsia="方正仿宋_GBK" w:cs="方正仿宋_GBK"/>
                <w:sz w:val="21"/>
                <w:szCs w:val="21"/>
              </w:rPr>
            </w:pPr>
          </w:p>
        </w:tc>
      </w:tr>
      <w:tr w14:paraId="1A70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1774" w:type="dxa"/>
            <w:gridSpan w:val="2"/>
            <w:noWrap w:val="0"/>
            <w:vAlign w:val="center"/>
          </w:tcPr>
          <w:p w14:paraId="314774A4">
            <w:pPr>
              <w:spacing w:line="280" w:lineRule="exact"/>
              <w:ind w:left="0" w:leftChars="0" w:firstLine="0" w:firstLineChars="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技术中心负责人</w:t>
            </w:r>
          </w:p>
        </w:tc>
        <w:tc>
          <w:tcPr>
            <w:tcW w:w="2597" w:type="dxa"/>
            <w:noWrap w:val="0"/>
            <w:vAlign w:val="center"/>
          </w:tcPr>
          <w:p w14:paraId="5E6F2746">
            <w:pPr>
              <w:spacing w:line="280" w:lineRule="exact"/>
              <w:ind w:left="0" w:leftChars="0" w:firstLine="0" w:firstLineChars="0"/>
              <w:rPr>
                <w:rFonts w:hint="eastAsia" w:ascii="方正仿宋_GBK" w:hAnsi="方正仿宋_GBK" w:eastAsia="方正仿宋_GBK" w:cs="方正仿宋_GBK"/>
                <w:sz w:val="21"/>
                <w:szCs w:val="21"/>
              </w:rPr>
            </w:pPr>
          </w:p>
        </w:tc>
        <w:tc>
          <w:tcPr>
            <w:tcW w:w="2340" w:type="dxa"/>
            <w:gridSpan w:val="2"/>
            <w:noWrap w:val="0"/>
            <w:vAlign w:val="center"/>
          </w:tcPr>
          <w:p w14:paraId="75C346B0">
            <w:pPr>
              <w:spacing w:line="280" w:lineRule="exact"/>
              <w:ind w:left="0" w:leftChars="0" w:firstLine="0" w:firstLineChars="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联系电话</w:t>
            </w:r>
          </w:p>
        </w:tc>
        <w:tc>
          <w:tcPr>
            <w:tcW w:w="1428" w:type="dxa"/>
            <w:noWrap w:val="0"/>
            <w:vAlign w:val="center"/>
          </w:tcPr>
          <w:p w14:paraId="3FE6128E">
            <w:pPr>
              <w:spacing w:line="280" w:lineRule="exact"/>
              <w:ind w:firstLine="420" w:firstLineChars="200"/>
              <w:rPr>
                <w:rFonts w:hint="eastAsia" w:ascii="方正仿宋_GBK" w:hAnsi="方正仿宋_GBK" w:eastAsia="方正仿宋_GBK" w:cs="方正仿宋_GBK"/>
                <w:sz w:val="21"/>
                <w:szCs w:val="21"/>
              </w:rPr>
            </w:pPr>
          </w:p>
        </w:tc>
      </w:tr>
      <w:tr w14:paraId="4625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1774" w:type="dxa"/>
            <w:gridSpan w:val="2"/>
            <w:noWrap w:val="0"/>
            <w:vAlign w:val="center"/>
          </w:tcPr>
          <w:p w14:paraId="53F17586">
            <w:pPr>
              <w:spacing w:line="280" w:lineRule="exact"/>
              <w:ind w:left="0" w:leftChars="0" w:firstLine="0" w:firstLineChars="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联系人</w:t>
            </w:r>
          </w:p>
        </w:tc>
        <w:tc>
          <w:tcPr>
            <w:tcW w:w="2597" w:type="dxa"/>
            <w:noWrap w:val="0"/>
            <w:vAlign w:val="center"/>
          </w:tcPr>
          <w:p w14:paraId="069D57EA">
            <w:pPr>
              <w:spacing w:line="280" w:lineRule="exact"/>
              <w:ind w:left="0" w:leftChars="0" w:firstLine="0" w:firstLineChars="0"/>
              <w:rPr>
                <w:rFonts w:hint="eastAsia" w:ascii="方正仿宋_GBK" w:hAnsi="方正仿宋_GBK" w:eastAsia="方正仿宋_GBK" w:cs="方正仿宋_GBK"/>
                <w:sz w:val="21"/>
                <w:szCs w:val="21"/>
              </w:rPr>
            </w:pPr>
          </w:p>
        </w:tc>
        <w:tc>
          <w:tcPr>
            <w:tcW w:w="2340" w:type="dxa"/>
            <w:gridSpan w:val="2"/>
            <w:noWrap w:val="0"/>
            <w:vAlign w:val="center"/>
          </w:tcPr>
          <w:p w14:paraId="1618F704">
            <w:pPr>
              <w:spacing w:line="280" w:lineRule="exact"/>
              <w:ind w:left="0" w:leftChars="0" w:firstLine="0" w:firstLineChars="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联系电话</w:t>
            </w:r>
          </w:p>
        </w:tc>
        <w:tc>
          <w:tcPr>
            <w:tcW w:w="1428" w:type="dxa"/>
            <w:noWrap w:val="0"/>
            <w:vAlign w:val="center"/>
          </w:tcPr>
          <w:p w14:paraId="787D8930">
            <w:pPr>
              <w:spacing w:line="280" w:lineRule="exact"/>
              <w:ind w:firstLine="420" w:firstLineChars="200"/>
              <w:rPr>
                <w:rFonts w:hint="eastAsia" w:ascii="方正仿宋_GBK" w:hAnsi="方正仿宋_GBK" w:eastAsia="方正仿宋_GBK" w:cs="方正仿宋_GBK"/>
                <w:sz w:val="21"/>
                <w:szCs w:val="21"/>
              </w:rPr>
            </w:pPr>
          </w:p>
        </w:tc>
      </w:tr>
      <w:tr w14:paraId="78B4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1774" w:type="dxa"/>
            <w:gridSpan w:val="2"/>
            <w:noWrap w:val="0"/>
            <w:vAlign w:val="center"/>
          </w:tcPr>
          <w:p w14:paraId="65E5DECE">
            <w:pPr>
              <w:spacing w:line="280" w:lineRule="exact"/>
              <w:ind w:left="0" w:leftChars="0" w:firstLine="0" w:firstLineChars="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电子邮件</w:t>
            </w:r>
          </w:p>
        </w:tc>
        <w:tc>
          <w:tcPr>
            <w:tcW w:w="2597" w:type="dxa"/>
            <w:noWrap w:val="0"/>
            <w:vAlign w:val="center"/>
          </w:tcPr>
          <w:p w14:paraId="78CF029E">
            <w:pPr>
              <w:spacing w:line="280" w:lineRule="exact"/>
              <w:ind w:left="0" w:leftChars="0" w:firstLine="0" w:firstLineChars="0"/>
              <w:rPr>
                <w:rFonts w:hint="eastAsia" w:ascii="方正仿宋_GBK" w:hAnsi="方正仿宋_GBK" w:eastAsia="方正仿宋_GBK" w:cs="方正仿宋_GBK"/>
                <w:sz w:val="21"/>
                <w:szCs w:val="21"/>
              </w:rPr>
            </w:pPr>
          </w:p>
        </w:tc>
        <w:tc>
          <w:tcPr>
            <w:tcW w:w="2340" w:type="dxa"/>
            <w:gridSpan w:val="2"/>
            <w:noWrap w:val="0"/>
            <w:vAlign w:val="center"/>
          </w:tcPr>
          <w:p w14:paraId="48D45609">
            <w:pPr>
              <w:spacing w:line="280" w:lineRule="exact"/>
              <w:ind w:left="0" w:leftChars="0" w:firstLine="0" w:firstLineChars="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联系传真</w:t>
            </w:r>
          </w:p>
        </w:tc>
        <w:tc>
          <w:tcPr>
            <w:tcW w:w="1428" w:type="dxa"/>
            <w:noWrap w:val="0"/>
            <w:vAlign w:val="center"/>
          </w:tcPr>
          <w:p w14:paraId="1CDDF277">
            <w:pPr>
              <w:spacing w:line="280" w:lineRule="exact"/>
              <w:ind w:firstLine="420" w:firstLineChars="200"/>
              <w:rPr>
                <w:rFonts w:hint="eastAsia" w:ascii="方正仿宋_GBK" w:hAnsi="方正仿宋_GBK" w:eastAsia="方正仿宋_GBK" w:cs="方正仿宋_GBK"/>
                <w:sz w:val="21"/>
                <w:szCs w:val="21"/>
              </w:rPr>
            </w:pPr>
          </w:p>
        </w:tc>
      </w:tr>
      <w:tr w14:paraId="75B5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1774" w:type="dxa"/>
            <w:gridSpan w:val="2"/>
            <w:noWrap w:val="0"/>
            <w:vAlign w:val="center"/>
          </w:tcPr>
          <w:p w14:paraId="70F41392">
            <w:pPr>
              <w:spacing w:line="280" w:lineRule="exact"/>
              <w:ind w:left="0" w:leftChars="0" w:firstLine="0" w:firstLineChars="0"/>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sz w:val="21"/>
                <w:szCs w:val="21"/>
              </w:rPr>
              <w:t>企业网址</w:t>
            </w:r>
          </w:p>
        </w:tc>
        <w:tc>
          <w:tcPr>
            <w:tcW w:w="2597" w:type="dxa"/>
            <w:noWrap w:val="0"/>
            <w:vAlign w:val="center"/>
          </w:tcPr>
          <w:p w14:paraId="60314247">
            <w:pPr>
              <w:spacing w:line="280" w:lineRule="exact"/>
              <w:ind w:left="0" w:leftChars="0" w:firstLine="0" w:firstLineChars="0"/>
              <w:rPr>
                <w:rFonts w:hint="eastAsia" w:ascii="方正仿宋_GBK" w:hAnsi="方正仿宋_GBK" w:eastAsia="方正仿宋_GBK" w:cs="方正仿宋_GBK"/>
                <w:b/>
                <w:sz w:val="21"/>
                <w:szCs w:val="21"/>
              </w:rPr>
            </w:pPr>
          </w:p>
        </w:tc>
        <w:tc>
          <w:tcPr>
            <w:tcW w:w="2340" w:type="dxa"/>
            <w:gridSpan w:val="2"/>
            <w:noWrap w:val="0"/>
            <w:vAlign w:val="center"/>
          </w:tcPr>
          <w:p w14:paraId="41381DE5">
            <w:pPr>
              <w:spacing w:line="280" w:lineRule="exact"/>
              <w:ind w:left="0" w:leftChars="0" w:firstLine="0" w:firstLineChars="0"/>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sz w:val="21"/>
                <w:szCs w:val="21"/>
              </w:rPr>
              <w:t>报告年度</w:t>
            </w:r>
          </w:p>
        </w:tc>
        <w:tc>
          <w:tcPr>
            <w:tcW w:w="1428" w:type="dxa"/>
            <w:noWrap w:val="0"/>
            <w:vAlign w:val="center"/>
          </w:tcPr>
          <w:p w14:paraId="216C9300">
            <w:pPr>
              <w:spacing w:line="280" w:lineRule="exact"/>
              <w:ind w:firstLine="422" w:firstLineChars="200"/>
              <w:rPr>
                <w:rFonts w:hint="eastAsia" w:ascii="方正仿宋_GBK" w:hAnsi="方正仿宋_GBK" w:eastAsia="方正仿宋_GBK" w:cs="方正仿宋_GBK"/>
                <w:b/>
                <w:sz w:val="21"/>
                <w:szCs w:val="21"/>
              </w:rPr>
            </w:pPr>
          </w:p>
        </w:tc>
      </w:tr>
      <w:tr w14:paraId="539B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94" w:type="dxa"/>
            <w:noWrap w:val="0"/>
            <w:vAlign w:val="center"/>
          </w:tcPr>
          <w:p w14:paraId="0D0ABEC2">
            <w:pPr>
              <w:keepNext w:val="0"/>
              <w:keepLines w:val="0"/>
              <w:pageBreakBefore w:val="0"/>
              <w:widowControl w:val="0"/>
              <w:kinsoku/>
              <w:wordWrap/>
              <w:overflowPunct/>
              <w:topLinePunct w:val="0"/>
              <w:autoSpaceDE/>
              <w:autoSpaceDN/>
              <w:bidi w:val="0"/>
              <w:adjustRightInd/>
              <w:snapToGrid/>
              <w:spacing w:line="180" w:lineRule="exact"/>
              <w:ind w:firstLine="0" w:firstLineChars="0"/>
              <w:jc w:val="center"/>
              <w:textAlignment w:val="auto"/>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序号</w:t>
            </w:r>
          </w:p>
        </w:tc>
        <w:tc>
          <w:tcPr>
            <w:tcW w:w="5117" w:type="dxa"/>
            <w:gridSpan w:val="3"/>
            <w:noWrap w:val="0"/>
            <w:vAlign w:val="center"/>
          </w:tcPr>
          <w:p w14:paraId="4C7B639C">
            <w:pPr>
              <w:spacing w:line="280" w:lineRule="exact"/>
              <w:ind w:left="0" w:leftChars="0" w:firstLine="0" w:firstLineChars="0"/>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指标名称</w:t>
            </w:r>
          </w:p>
        </w:tc>
        <w:tc>
          <w:tcPr>
            <w:tcW w:w="900" w:type="dxa"/>
            <w:noWrap w:val="0"/>
            <w:vAlign w:val="center"/>
          </w:tcPr>
          <w:p w14:paraId="4AB2563A">
            <w:pPr>
              <w:spacing w:line="280" w:lineRule="exact"/>
              <w:ind w:left="0" w:leftChars="0" w:firstLine="0" w:firstLineChars="0"/>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单位</w:t>
            </w:r>
          </w:p>
        </w:tc>
        <w:tc>
          <w:tcPr>
            <w:tcW w:w="1428" w:type="dxa"/>
            <w:noWrap w:val="0"/>
            <w:vAlign w:val="center"/>
          </w:tcPr>
          <w:p w14:paraId="6FDEC795">
            <w:pPr>
              <w:spacing w:line="280" w:lineRule="exact"/>
              <w:ind w:left="0" w:leftChars="0" w:firstLine="0" w:firstLineChars="0"/>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数据值</w:t>
            </w:r>
          </w:p>
        </w:tc>
      </w:tr>
      <w:tr w14:paraId="52D2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94" w:type="dxa"/>
            <w:noWrap w:val="0"/>
            <w:vAlign w:val="center"/>
          </w:tcPr>
          <w:p w14:paraId="3A91D8A2">
            <w:pPr>
              <w:keepNext w:val="0"/>
              <w:keepLines w:val="0"/>
              <w:pageBreakBefore w:val="0"/>
              <w:widowControl w:val="0"/>
              <w:kinsoku/>
              <w:wordWrap/>
              <w:overflowPunct/>
              <w:topLinePunct w:val="0"/>
              <w:autoSpaceDE/>
              <w:autoSpaceDN/>
              <w:bidi w:val="0"/>
              <w:adjustRightInd/>
              <w:snapToGrid/>
              <w:spacing w:line="180" w:lineRule="exact"/>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5117" w:type="dxa"/>
            <w:gridSpan w:val="3"/>
            <w:noWrap w:val="0"/>
            <w:vAlign w:val="center"/>
          </w:tcPr>
          <w:p w14:paraId="50ABED2D">
            <w:pPr>
              <w:spacing w:line="280" w:lineRule="exact"/>
              <w:ind w:left="0" w:leftChars="0" w:firstLine="0" w:firstLineChars="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主营业务收入</w:t>
            </w:r>
          </w:p>
        </w:tc>
        <w:tc>
          <w:tcPr>
            <w:tcW w:w="900" w:type="dxa"/>
            <w:noWrap w:val="0"/>
            <w:vAlign w:val="center"/>
          </w:tcPr>
          <w:p w14:paraId="5C1C1058">
            <w:pPr>
              <w:spacing w:line="280" w:lineRule="exact"/>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万元</w:t>
            </w:r>
          </w:p>
        </w:tc>
        <w:tc>
          <w:tcPr>
            <w:tcW w:w="1428" w:type="dxa"/>
            <w:noWrap w:val="0"/>
            <w:vAlign w:val="center"/>
          </w:tcPr>
          <w:p w14:paraId="402A5641">
            <w:pPr>
              <w:spacing w:line="280" w:lineRule="exact"/>
              <w:ind w:left="0" w:leftChars="0" w:firstLine="0" w:firstLineChars="0"/>
              <w:rPr>
                <w:rFonts w:hint="eastAsia" w:ascii="方正仿宋_GBK" w:hAnsi="方正仿宋_GBK" w:eastAsia="方正仿宋_GBK" w:cs="方正仿宋_GBK"/>
                <w:sz w:val="21"/>
                <w:szCs w:val="21"/>
              </w:rPr>
            </w:pPr>
          </w:p>
        </w:tc>
      </w:tr>
      <w:tr w14:paraId="3B2C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94" w:type="dxa"/>
            <w:noWrap w:val="0"/>
            <w:vAlign w:val="center"/>
          </w:tcPr>
          <w:p w14:paraId="105F7F9D">
            <w:pPr>
              <w:keepNext w:val="0"/>
              <w:keepLines w:val="0"/>
              <w:pageBreakBefore w:val="0"/>
              <w:widowControl w:val="0"/>
              <w:kinsoku/>
              <w:wordWrap/>
              <w:overflowPunct/>
              <w:topLinePunct w:val="0"/>
              <w:autoSpaceDE/>
              <w:autoSpaceDN/>
              <w:bidi w:val="0"/>
              <w:adjustRightInd/>
              <w:snapToGrid/>
              <w:spacing w:line="180" w:lineRule="exact"/>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5117" w:type="dxa"/>
            <w:gridSpan w:val="3"/>
            <w:noWrap w:val="0"/>
            <w:vAlign w:val="center"/>
          </w:tcPr>
          <w:p w14:paraId="5BDFF7E6">
            <w:pPr>
              <w:spacing w:line="280" w:lineRule="exact"/>
              <w:ind w:left="0" w:leftChars="0" w:firstLine="0" w:firstLineChars="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研究与试验发展经费支出</w:t>
            </w:r>
          </w:p>
        </w:tc>
        <w:tc>
          <w:tcPr>
            <w:tcW w:w="900" w:type="dxa"/>
            <w:noWrap w:val="0"/>
            <w:vAlign w:val="center"/>
          </w:tcPr>
          <w:p w14:paraId="57D283B3">
            <w:pPr>
              <w:spacing w:line="280" w:lineRule="exact"/>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万元</w:t>
            </w:r>
          </w:p>
        </w:tc>
        <w:tc>
          <w:tcPr>
            <w:tcW w:w="1428" w:type="dxa"/>
            <w:noWrap w:val="0"/>
            <w:vAlign w:val="center"/>
          </w:tcPr>
          <w:p w14:paraId="1DFCAC90">
            <w:pPr>
              <w:spacing w:line="280" w:lineRule="exact"/>
              <w:ind w:left="0" w:leftChars="0" w:firstLine="0" w:firstLineChars="0"/>
              <w:rPr>
                <w:rFonts w:hint="eastAsia" w:ascii="方正仿宋_GBK" w:hAnsi="方正仿宋_GBK" w:eastAsia="方正仿宋_GBK" w:cs="方正仿宋_GBK"/>
                <w:sz w:val="21"/>
                <w:szCs w:val="21"/>
              </w:rPr>
            </w:pPr>
          </w:p>
        </w:tc>
      </w:tr>
      <w:tr w14:paraId="58C6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94" w:type="dxa"/>
            <w:noWrap w:val="0"/>
            <w:vAlign w:val="center"/>
          </w:tcPr>
          <w:p w14:paraId="2CC139CC">
            <w:pPr>
              <w:keepNext w:val="0"/>
              <w:keepLines w:val="0"/>
              <w:pageBreakBefore w:val="0"/>
              <w:widowControl w:val="0"/>
              <w:kinsoku/>
              <w:wordWrap/>
              <w:overflowPunct/>
              <w:topLinePunct w:val="0"/>
              <w:autoSpaceDE/>
              <w:autoSpaceDN/>
              <w:bidi w:val="0"/>
              <w:adjustRightInd/>
              <w:snapToGrid/>
              <w:spacing w:line="180" w:lineRule="exact"/>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w:t>
            </w:r>
          </w:p>
        </w:tc>
        <w:tc>
          <w:tcPr>
            <w:tcW w:w="5117" w:type="dxa"/>
            <w:gridSpan w:val="3"/>
            <w:noWrap w:val="0"/>
            <w:vAlign w:val="center"/>
          </w:tcPr>
          <w:p w14:paraId="74B31F52">
            <w:pPr>
              <w:spacing w:line="280" w:lineRule="exact"/>
              <w:ind w:left="0" w:leftChars="0" w:firstLine="0" w:firstLineChars="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研究与试验发展人员数</w:t>
            </w:r>
          </w:p>
        </w:tc>
        <w:tc>
          <w:tcPr>
            <w:tcW w:w="900" w:type="dxa"/>
            <w:noWrap w:val="0"/>
            <w:vAlign w:val="center"/>
          </w:tcPr>
          <w:p w14:paraId="27C94EF2">
            <w:pPr>
              <w:spacing w:line="280" w:lineRule="exact"/>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w:t>
            </w:r>
          </w:p>
        </w:tc>
        <w:tc>
          <w:tcPr>
            <w:tcW w:w="1428" w:type="dxa"/>
            <w:noWrap w:val="0"/>
            <w:vAlign w:val="center"/>
          </w:tcPr>
          <w:p w14:paraId="09BEFE98">
            <w:pPr>
              <w:spacing w:line="280" w:lineRule="exact"/>
              <w:ind w:left="0" w:leftChars="0" w:firstLine="0" w:firstLineChars="0"/>
              <w:rPr>
                <w:rFonts w:hint="eastAsia" w:ascii="方正仿宋_GBK" w:hAnsi="方正仿宋_GBK" w:eastAsia="方正仿宋_GBK" w:cs="方正仿宋_GBK"/>
                <w:sz w:val="21"/>
                <w:szCs w:val="21"/>
              </w:rPr>
            </w:pPr>
          </w:p>
        </w:tc>
      </w:tr>
      <w:tr w14:paraId="031F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94" w:type="dxa"/>
            <w:noWrap w:val="0"/>
            <w:vAlign w:val="center"/>
          </w:tcPr>
          <w:p w14:paraId="5F29A578">
            <w:pPr>
              <w:keepNext w:val="0"/>
              <w:keepLines w:val="0"/>
              <w:pageBreakBefore w:val="0"/>
              <w:widowControl w:val="0"/>
              <w:kinsoku/>
              <w:wordWrap/>
              <w:overflowPunct/>
              <w:topLinePunct w:val="0"/>
              <w:autoSpaceDE/>
              <w:autoSpaceDN/>
              <w:bidi w:val="0"/>
              <w:adjustRightInd/>
              <w:snapToGrid/>
              <w:spacing w:line="180" w:lineRule="exact"/>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w:t>
            </w:r>
          </w:p>
        </w:tc>
        <w:tc>
          <w:tcPr>
            <w:tcW w:w="5117" w:type="dxa"/>
            <w:gridSpan w:val="3"/>
            <w:noWrap w:val="0"/>
            <w:vAlign w:val="center"/>
          </w:tcPr>
          <w:p w14:paraId="5E804143">
            <w:pPr>
              <w:spacing w:line="280" w:lineRule="exact"/>
              <w:ind w:left="0" w:leftChars="0" w:firstLine="0" w:firstLineChars="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企业职工总数</w:t>
            </w:r>
          </w:p>
        </w:tc>
        <w:tc>
          <w:tcPr>
            <w:tcW w:w="900" w:type="dxa"/>
            <w:noWrap w:val="0"/>
            <w:vAlign w:val="center"/>
          </w:tcPr>
          <w:p w14:paraId="60B7ACD4">
            <w:pPr>
              <w:spacing w:line="280" w:lineRule="exact"/>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w:t>
            </w:r>
          </w:p>
        </w:tc>
        <w:tc>
          <w:tcPr>
            <w:tcW w:w="1428" w:type="dxa"/>
            <w:noWrap w:val="0"/>
            <w:vAlign w:val="center"/>
          </w:tcPr>
          <w:p w14:paraId="6C50FC40">
            <w:pPr>
              <w:spacing w:line="280" w:lineRule="exact"/>
              <w:ind w:left="0" w:leftChars="0" w:firstLine="0" w:firstLineChars="0"/>
              <w:rPr>
                <w:rFonts w:hint="eastAsia" w:ascii="方正仿宋_GBK" w:hAnsi="方正仿宋_GBK" w:eastAsia="方正仿宋_GBK" w:cs="方正仿宋_GBK"/>
                <w:sz w:val="21"/>
                <w:szCs w:val="21"/>
              </w:rPr>
            </w:pPr>
          </w:p>
        </w:tc>
      </w:tr>
      <w:tr w14:paraId="6504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94" w:type="dxa"/>
            <w:noWrap w:val="0"/>
            <w:vAlign w:val="center"/>
          </w:tcPr>
          <w:p w14:paraId="70D6C22D">
            <w:pPr>
              <w:keepNext w:val="0"/>
              <w:keepLines w:val="0"/>
              <w:pageBreakBefore w:val="0"/>
              <w:widowControl w:val="0"/>
              <w:kinsoku/>
              <w:wordWrap/>
              <w:overflowPunct/>
              <w:topLinePunct w:val="0"/>
              <w:autoSpaceDE/>
              <w:autoSpaceDN/>
              <w:bidi w:val="0"/>
              <w:adjustRightInd/>
              <w:snapToGrid/>
              <w:spacing w:line="180" w:lineRule="exact"/>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w:t>
            </w:r>
          </w:p>
        </w:tc>
        <w:tc>
          <w:tcPr>
            <w:tcW w:w="5117" w:type="dxa"/>
            <w:gridSpan w:val="3"/>
            <w:noWrap w:val="0"/>
            <w:vAlign w:val="center"/>
          </w:tcPr>
          <w:p w14:paraId="7CA480B9">
            <w:pPr>
              <w:spacing w:line="280" w:lineRule="exact"/>
              <w:ind w:left="0" w:leftChars="0" w:firstLine="0" w:firstLineChars="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技术中心高级</w:t>
            </w:r>
            <w:r>
              <w:rPr>
                <w:rFonts w:hint="eastAsia" w:ascii="方正仿宋_GBK" w:hAnsi="方正仿宋_GBK" w:eastAsia="方正仿宋_GBK" w:cs="方正仿宋_GBK"/>
                <w:sz w:val="21"/>
                <w:szCs w:val="21"/>
                <w:lang w:eastAsia="zh-CN"/>
              </w:rPr>
              <w:t>职称</w:t>
            </w:r>
            <w:r>
              <w:rPr>
                <w:rFonts w:hint="eastAsia" w:ascii="方正仿宋_GBK" w:hAnsi="方正仿宋_GBK" w:eastAsia="方正仿宋_GBK" w:cs="方正仿宋_GBK"/>
                <w:sz w:val="21"/>
                <w:szCs w:val="21"/>
              </w:rPr>
              <w:t>人数</w:t>
            </w:r>
          </w:p>
        </w:tc>
        <w:tc>
          <w:tcPr>
            <w:tcW w:w="900" w:type="dxa"/>
            <w:noWrap w:val="0"/>
            <w:vAlign w:val="center"/>
          </w:tcPr>
          <w:p w14:paraId="433821D9">
            <w:pPr>
              <w:spacing w:line="280" w:lineRule="exact"/>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w:t>
            </w:r>
          </w:p>
        </w:tc>
        <w:tc>
          <w:tcPr>
            <w:tcW w:w="1428" w:type="dxa"/>
            <w:noWrap w:val="0"/>
            <w:vAlign w:val="center"/>
          </w:tcPr>
          <w:p w14:paraId="3EFD1BAC">
            <w:pPr>
              <w:spacing w:line="280" w:lineRule="exact"/>
              <w:ind w:left="0" w:leftChars="0" w:firstLine="0" w:firstLineChars="0"/>
              <w:rPr>
                <w:rFonts w:hint="eastAsia" w:ascii="方正仿宋_GBK" w:hAnsi="方正仿宋_GBK" w:eastAsia="方正仿宋_GBK" w:cs="方正仿宋_GBK"/>
                <w:sz w:val="21"/>
                <w:szCs w:val="21"/>
              </w:rPr>
            </w:pPr>
          </w:p>
        </w:tc>
      </w:tr>
      <w:tr w14:paraId="045C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94" w:type="dxa"/>
            <w:noWrap w:val="0"/>
            <w:vAlign w:val="center"/>
          </w:tcPr>
          <w:p w14:paraId="40F4A146">
            <w:pPr>
              <w:keepNext w:val="0"/>
              <w:keepLines w:val="0"/>
              <w:pageBreakBefore w:val="0"/>
              <w:widowControl w:val="0"/>
              <w:kinsoku/>
              <w:wordWrap/>
              <w:overflowPunct/>
              <w:topLinePunct w:val="0"/>
              <w:autoSpaceDE/>
              <w:autoSpaceDN/>
              <w:bidi w:val="0"/>
              <w:adjustRightInd/>
              <w:snapToGrid/>
              <w:spacing w:line="180" w:lineRule="exact"/>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w:t>
            </w:r>
          </w:p>
        </w:tc>
        <w:tc>
          <w:tcPr>
            <w:tcW w:w="5117" w:type="dxa"/>
            <w:gridSpan w:val="3"/>
            <w:noWrap w:val="0"/>
            <w:vAlign w:val="center"/>
          </w:tcPr>
          <w:p w14:paraId="34140295">
            <w:pPr>
              <w:spacing w:line="280" w:lineRule="exact"/>
              <w:ind w:left="0" w:leftChars="0" w:firstLine="0" w:firstLineChars="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技术中心博士人数</w:t>
            </w:r>
          </w:p>
        </w:tc>
        <w:tc>
          <w:tcPr>
            <w:tcW w:w="900" w:type="dxa"/>
            <w:noWrap w:val="0"/>
            <w:vAlign w:val="center"/>
          </w:tcPr>
          <w:p w14:paraId="4E4E0287">
            <w:pPr>
              <w:spacing w:line="280" w:lineRule="exact"/>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w:t>
            </w:r>
          </w:p>
        </w:tc>
        <w:tc>
          <w:tcPr>
            <w:tcW w:w="1428" w:type="dxa"/>
            <w:noWrap w:val="0"/>
            <w:vAlign w:val="center"/>
          </w:tcPr>
          <w:p w14:paraId="3B98D9F5">
            <w:pPr>
              <w:spacing w:line="280" w:lineRule="exact"/>
              <w:ind w:left="0" w:leftChars="0" w:firstLine="0" w:firstLineChars="0"/>
              <w:rPr>
                <w:rFonts w:hint="eastAsia" w:ascii="方正仿宋_GBK" w:hAnsi="方正仿宋_GBK" w:eastAsia="方正仿宋_GBK" w:cs="方正仿宋_GBK"/>
                <w:sz w:val="21"/>
                <w:szCs w:val="21"/>
              </w:rPr>
            </w:pPr>
          </w:p>
        </w:tc>
      </w:tr>
      <w:tr w14:paraId="5B5B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94" w:type="dxa"/>
            <w:noWrap w:val="0"/>
            <w:vAlign w:val="center"/>
          </w:tcPr>
          <w:p w14:paraId="62B8B50D">
            <w:pPr>
              <w:keepNext w:val="0"/>
              <w:keepLines w:val="0"/>
              <w:pageBreakBefore w:val="0"/>
              <w:widowControl w:val="0"/>
              <w:kinsoku/>
              <w:wordWrap/>
              <w:overflowPunct/>
              <w:topLinePunct w:val="0"/>
              <w:autoSpaceDE/>
              <w:autoSpaceDN/>
              <w:bidi w:val="0"/>
              <w:adjustRightInd/>
              <w:snapToGrid/>
              <w:spacing w:line="180" w:lineRule="exact"/>
              <w:ind w:firstLine="0" w:firstLineChars="0"/>
              <w:jc w:val="center"/>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7</w:t>
            </w:r>
          </w:p>
        </w:tc>
        <w:tc>
          <w:tcPr>
            <w:tcW w:w="5117" w:type="dxa"/>
            <w:gridSpan w:val="3"/>
            <w:noWrap w:val="0"/>
            <w:vAlign w:val="center"/>
          </w:tcPr>
          <w:p w14:paraId="26ECB4A0">
            <w:pPr>
              <w:spacing w:line="280" w:lineRule="exact"/>
              <w:ind w:left="0" w:leftChars="0" w:firstLine="0" w:firstLineChars="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企业全部研发项目数</w:t>
            </w:r>
          </w:p>
        </w:tc>
        <w:tc>
          <w:tcPr>
            <w:tcW w:w="900" w:type="dxa"/>
            <w:noWrap w:val="0"/>
            <w:vAlign w:val="center"/>
          </w:tcPr>
          <w:p w14:paraId="5E76D5EF">
            <w:pPr>
              <w:spacing w:line="280" w:lineRule="exact"/>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w:t>
            </w:r>
          </w:p>
        </w:tc>
        <w:tc>
          <w:tcPr>
            <w:tcW w:w="1428" w:type="dxa"/>
            <w:noWrap w:val="0"/>
            <w:vAlign w:val="center"/>
          </w:tcPr>
          <w:p w14:paraId="6929351E">
            <w:pPr>
              <w:spacing w:line="280" w:lineRule="exact"/>
              <w:ind w:left="0" w:leftChars="0" w:firstLine="0" w:firstLineChars="0"/>
              <w:rPr>
                <w:rFonts w:hint="eastAsia" w:ascii="方正仿宋_GBK" w:hAnsi="方正仿宋_GBK" w:eastAsia="方正仿宋_GBK" w:cs="方正仿宋_GBK"/>
                <w:sz w:val="21"/>
                <w:szCs w:val="21"/>
              </w:rPr>
            </w:pPr>
          </w:p>
        </w:tc>
      </w:tr>
      <w:tr w14:paraId="377B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94" w:type="dxa"/>
            <w:noWrap w:val="0"/>
            <w:vAlign w:val="center"/>
          </w:tcPr>
          <w:p w14:paraId="69A90AA5">
            <w:pPr>
              <w:keepNext w:val="0"/>
              <w:keepLines w:val="0"/>
              <w:pageBreakBefore w:val="0"/>
              <w:widowControl w:val="0"/>
              <w:kinsoku/>
              <w:wordWrap/>
              <w:overflowPunct/>
              <w:topLinePunct w:val="0"/>
              <w:autoSpaceDE/>
              <w:autoSpaceDN/>
              <w:bidi w:val="0"/>
              <w:adjustRightInd/>
              <w:snapToGrid/>
              <w:spacing w:line="180" w:lineRule="exact"/>
              <w:ind w:firstLine="0" w:firstLineChars="0"/>
              <w:jc w:val="center"/>
              <w:textAlignment w:val="auto"/>
              <w:rPr>
                <w:rFonts w:hint="default" w:ascii="Times New Roman" w:hAnsi="Times New Roman" w:eastAsia="方正仿宋_GBK" w:cs="Times New Roman"/>
                <w:sz w:val="21"/>
                <w:szCs w:val="21"/>
              </w:rPr>
            </w:pPr>
          </w:p>
        </w:tc>
        <w:tc>
          <w:tcPr>
            <w:tcW w:w="5117" w:type="dxa"/>
            <w:gridSpan w:val="3"/>
            <w:noWrap w:val="0"/>
            <w:vAlign w:val="center"/>
          </w:tcPr>
          <w:p w14:paraId="41A2D047">
            <w:pPr>
              <w:spacing w:line="280" w:lineRule="exact"/>
              <w:ind w:left="0" w:leftChars="0" w:firstLine="0" w:firstLineChars="0"/>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sz w:val="21"/>
                <w:szCs w:val="21"/>
              </w:rPr>
              <w:t>其中：基础研究和应用研究项目数</w:t>
            </w:r>
          </w:p>
        </w:tc>
        <w:tc>
          <w:tcPr>
            <w:tcW w:w="900" w:type="dxa"/>
            <w:noWrap w:val="0"/>
            <w:vAlign w:val="center"/>
          </w:tcPr>
          <w:p w14:paraId="013D19E7">
            <w:pPr>
              <w:spacing w:line="280" w:lineRule="exact"/>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w:t>
            </w:r>
          </w:p>
        </w:tc>
        <w:tc>
          <w:tcPr>
            <w:tcW w:w="1428" w:type="dxa"/>
            <w:noWrap w:val="0"/>
            <w:vAlign w:val="center"/>
          </w:tcPr>
          <w:p w14:paraId="0C0277ED">
            <w:pPr>
              <w:spacing w:line="280" w:lineRule="exact"/>
              <w:ind w:left="0" w:leftChars="0" w:firstLine="0" w:firstLineChars="0"/>
              <w:rPr>
                <w:rFonts w:hint="eastAsia" w:ascii="方正仿宋_GBK" w:hAnsi="方正仿宋_GBK" w:eastAsia="方正仿宋_GBK" w:cs="方正仿宋_GBK"/>
                <w:sz w:val="21"/>
                <w:szCs w:val="21"/>
              </w:rPr>
            </w:pPr>
          </w:p>
        </w:tc>
      </w:tr>
      <w:tr w14:paraId="35B9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94" w:type="dxa"/>
            <w:noWrap w:val="0"/>
            <w:vAlign w:val="center"/>
          </w:tcPr>
          <w:p w14:paraId="3596A576">
            <w:pPr>
              <w:keepNext w:val="0"/>
              <w:keepLines w:val="0"/>
              <w:pageBreakBefore w:val="0"/>
              <w:widowControl w:val="0"/>
              <w:kinsoku/>
              <w:wordWrap/>
              <w:overflowPunct/>
              <w:topLinePunct w:val="0"/>
              <w:autoSpaceDE/>
              <w:autoSpaceDN/>
              <w:bidi w:val="0"/>
              <w:adjustRightInd/>
              <w:snapToGrid/>
              <w:spacing w:line="180" w:lineRule="exact"/>
              <w:ind w:firstLine="0" w:firstLineChars="0"/>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8</w:t>
            </w:r>
          </w:p>
        </w:tc>
        <w:tc>
          <w:tcPr>
            <w:tcW w:w="5117" w:type="dxa"/>
            <w:gridSpan w:val="3"/>
            <w:noWrap w:val="0"/>
            <w:vAlign w:val="center"/>
          </w:tcPr>
          <w:p w14:paraId="0EF65892">
            <w:pPr>
              <w:spacing w:line="280" w:lineRule="exact"/>
              <w:ind w:left="0" w:leftChars="0" w:firstLine="0" w:firstLineChars="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国家级研发平台数</w:t>
            </w:r>
          </w:p>
        </w:tc>
        <w:tc>
          <w:tcPr>
            <w:tcW w:w="900" w:type="dxa"/>
            <w:noWrap w:val="0"/>
            <w:vAlign w:val="center"/>
          </w:tcPr>
          <w:p w14:paraId="46884D5F">
            <w:pPr>
              <w:spacing w:line="280" w:lineRule="exact"/>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个</w:t>
            </w:r>
          </w:p>
        </w:tc>
        <w:tc>
          <w:tcPr>
            <w:tcW w:w="1428" w:type="dxa"/>
            <w:noWrap w:val="0"/>
            <w:vAlign w:val="center"/>
          </w:tcPr>
          <w:p w14:paraId="058D6AF6">
            <w:pPr>
              <w:spacing w:line="280" w:lineRule="exact"/>
              <w:ind w:left="0" w:leftChars="0" w:firstLine="0" w:firstLineChars="0"/>
              <w:rPr>
                <w:rFonts w:hint="eastAsia" w:ascii="方正仿宋_GBK" w:hAnsi="方正仿宋_GBK" w:eastAsia="方正仿宋_GBK" w:cs="方正仿宋_GBK"/>
                <w:sz w:val="21"/>
                <w:szCs w:val="21"/>
              </w:rPr>
            </w:pPr>
          </w:p>
        </w:tc>
      </w:tr>
      <w:tr w14:paraId="73F4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94" w:type="dxa"/>
            <w:noWrap w:val="0"/>
            <w:vAlign w:val="center"/>
          </w:tcPr>
          <w:p w14:paraId="3D630EE5">
            <w:pPr>
              <w:keepNext w:val="0"/>
              <w:keepLines w:val="0"/>
              <w:pageBreakBefore w:val="0"/>
              <w:widowControl w:val="0"/>
              <w:kinsoku/>
              <w:wordWrap/>
              <w:overflowPunct/>
              <w:topLinePunct w:val="0"/>
              <w:autoSpaceDE/>
              <w:autoSpaceDN/>
              <w:bidi w:val="0"/>
              <w:adjustRightInd/>
              <w:snapToGrid/>
              <w:spacing w:line="180" w:lineRule="exact"/>
              <w:ind w:firstLine="0" w:firstLineChars="0"/>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9</w:t>
            </w:r>
          </w:p>
        </w:tc>
        <w:tc>
          <w:tcPr>
            <w:tcW w:w="5117" w:type="dxa"/>
            <w:gridSpan w:val="3"/>
            <w:noWrap w:val="0"/>
            <w:vAlign w:val="center"/>
          </w:tcPr>
          <w:p w14:paraId="216A8D03">
            <w:pPr>
              <w:spacing w:line="280" w:lineRule="exact"/>
              <w:ind w:left="0" w:leftChars="0" w:firstLine="0" w:firstLineChars="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省级研发平台数</w:t>
            </w:r>
          </w:p>
        </w:tc>
        <w:tc>
          <w:tcPr>
            <w:tcW w:w="900" w:type="dxa"/>
            <w:noWrap w:val="0"/>
            <w:vAlign w:val="center"/>
          </w:tcPr>
          <w:p w14:paraId="57989CBF">
            <w:pPr>
              <w:spacing w:line="280" w:lineRule="exact"/>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个</w:t>
            </w:r>
          </w:p>
        </w:tc>
        <w:tc>
          <w:tcPr>
            <w:tcW w:w="1428" w:type="dxa"/>
            <w:noWrap w:val="0"/>
            <w:vAlign w:val="center"/>
          </w:tcPr>
          <w:p w14:paraId="0CB3805C">
            <w:pPr>
              <w:spacing w:line="280" w:lineRule="exact"/>
              <w:ind w:left="0" w:leftChars="0" w:firstLine="0" w:firstLineChars="0"/>
              <w:rPr>
                <w:rFonts w:hint="eastAsia" w:ascii="方正仿宋_GBK" w:hAnsi="方正仿宋_GBK" w:eastAsia="方正仿宋_GBK" w:cs="方正仿宋_GBK"/>
                <w:sz w:val="21"/>
                <w:szCs w:val="21"/>
              </w:rPr>
            </w:pPr>
          </w:p>
        </w:tc>
      </w:tr>
      <w:tr w14:paraId="3BAD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94" w:type="dxa"/>
            <w:noWrap w:val="0"/>
            <w:vAlign w:val="center"/>
          </w:tcPr>
          <w:p w14:paraId="1FE7D51E">
            <w:pPr>
              <w:keepNext w:val="0"/>
              <w:keepLines w:val="0"/>
              <w:pageBreakBefore w:val="0"/>
              <w:widowControl w:val="0"/>
              <w:kinsoku/>
              <w:wordWrap/>
              <w:overflowPunct/>
              <w:topLinePunct w:val="0"/>
              <w:autoSpaceDE/>
              <w:autoSpaceDN/>
              <w:bidi w:val="0"/>
              <w:adjustRightInd/>
              <w:snapToGrid/>
              <w:spacing w:line="180" w:lineRule="exact"/>
              <w:ind w:firstLine="0" w:firstLineChars="0"/>
              <w:jc w:val="center"/>
              <w:textAlignment w:val="auto"/>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1</w:t>
            </w:r>
            <w:r>
              <w:rPr>
                <w:rFonts w:hint="eastAsia" w:ascii="Times New Roman" w:hAnsi="Times New Roman" w:eastAsia="方正仿宋_GBK" w:cs="Times New Roman"/>
                <w:sz w:val="21"/>
                <w:szCs w:val="21"/>
                <w:lang w:val="en-US" w:eastAsia="zh-CN"/>
              </w:rPr>
              <w:t>0</w:t>
            </w:r>
          </w:p>
        </w:tc>
        <w:tc>
          <w:tcPr>
            <w:tcW w:w="5117" w:type="dxa"/>
            <w:gridSpan w:val="3"/>
            <w:noWrap w:val="0"/>
            <w:vAlign w:val="center"/>
          </w:tcPr>
          <w:p w14:paraId="55BD1BCC">
            <w:pPr>
              <w:spacing w:line="280" w:lineRule="exact"/>
              <w:ind w:left="0" w:leftChars="0" w:firstLine="0" w:firstLineChars="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通过国家（国际组织）认证的实验室和检测机构数</w:t>
            </w:r>
          </w:p>
        </w:tc>
        <w:tc>
          <w:tcPr>
            <w:tcW w:w="900" w:type="dxa"/>
            <w:noWrap w:val="0"/>
            <w:vAlign w:val="center"/>
          </w:tcPr>
          <w:p w14:paraId="05C0FC73">
            <w:pPr>
              <w:spacing w:line="280" w:lineRule="exact"/>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个</w:t>
            </w:r>
          </w:p>
        </w:tc>
        <w:tc>
          <w:tcPr>
            <w:tcW w:w="1428" w:type="dxa"/>
            <w:noWrap w:val="0"/>
            <w:vAlign w:val="center"/>
          </w:tcPr>
          <w:p w14:paraId="54B19FC9">
            <w:pPr>
              <w:spacing w:line="280" w:lineRule="exact"/>
              <w:ind w:left="0" w:leftChars="0" w:firstLine="0" w:firstLineChars="0"/>
              <w:rPr>
                <w:rFonts w:hint="eastAsia" w:ascii="方正仿宋_GBK" w:hAnsi="方正仿宋_GBK" w:eastAsia="方正仿宋_GBK" w:cs="方正仿宋_GBK"/>
                <w:sz w:val="21"/>
                <w:szCs w:val="21"/>
              </w:rPr>
            </w:pPr>
          </w:p>
        </w:tc>
      </w:tr>
      <w:tr w14:paraId="0F4B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94" w:type="dxa"/>
            <w:noWrap w:val="0"/>
            <w:vAlign w:val="center"/>
          </w:tcPr>
          <w:p w14:paraId="61B6E7B7">
            <w:pPr>
              <w:keepNext w:val="0"/>
              <w:keepLines w:val="0"/>
              <w:pageBreakBefore w:val="0"/>
              <w:widowControl w:val="0"/>
              <w:kinsoku/>
              <w:wordWrap/>
              <w:overflowPunct/>
              <w:topLinePunct w:val="0"/>
              <w:autoSpaceDE/>
              <w:autoSpaceDN/>
              <w:bidi w:val="0"/>
              <w:adjustRightInd/>
              <w:snapToGrid/>
              <w:spacing w:line="180" w:lineRule="exact"/>
              <w:ind w:firstLine="0" w:firstLineChars="0"/>
              <w:jc w:val="center"/>
              <w:textAlignment w:val="auto"/>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1</w:t>
            </w:r>
            <w:r>
              <w:rPr>
                <w:rFonts w:hint="eastAsia" w:ascii="Times New Roman" w:hAnsi="Times New Roman" w:eastAsia="方正仿宋_GBK" w:cs="Times New Roman"/>
                <w:sz w:val="21"/>
                <w:szCs w:val="21"/>
                <w:lang w:val="en-US" w:eastAsia="zh-CN"/>
              </w:rPr>
              <w:t>1</w:t>
            </w:r>
          </w:p>
        </w:tc>
        <w:tc>
          <w:tcPr>
            <w:tcW w:w="5117" w:type="dxa"/>
            <w:gridSpan w:val="3"/>
            <w:noWrap w:val="0"/>
            <w:vAlign w:val="center"/>
          </w:tcPr>
          <w:p w14:paraId="60844AD1">
            <w:pPr>
              <w:spacing w:line="280" w:lineRule="exact"/>
              <w:ind w:left="0" w:leftChars="0" w:firstLine="0" w:firstLineChars="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企业技术开发仪器设备原值</w:t>
            </w:r>
          </w:p>
        </w:tc>
        <w:tc>
          <w:tcPr>
            <w:tcW w:w="900" w:type="dxa"/>
            <w:noWrap w:val="0"/>
            <w:vAlign w:val="center"/>
          </w:tcPr>
          <w:p w14:paraId="65A4E72F">
            <w:pPr>
              <w:spacing w:line="280" w:lineRule="exact"/>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万元</w:t>
            </w:r>
          </w:p>
        </w:tc>
        <w:tc>
          <w:tcPr>
            <w:tcW w:w="1428" w:type="dxa"/>
            <w:noWrap w:val="0"/>
            <w:vAlign w:val="center"/>
          </w:tcPr>
          <w:p w14:paraId="441B200A">
            <w:pPr>
              <w:spacing w:line="280" w:lineRule="exact"/>
              <w:ind w:left="0" w:leftChars="0" w:firstLine="0" w:firstLineChars="0"/>
              <w:rPr>
                <w:rFonts w:hint="eastAsia" w:ascii="方正仿宋_GBK" w:hAnsi="方正仿宋_GBK" w:eastAsia="方正仿宋_GBK" w:cs="方正仿宋_GBK"/>
                <w:sz w:val="21"/>
                <w:szCs w:val="21"/>
              </w:rPr>
            </w:pPr>
          </w:p>
        </w:tc>
      </w:tr>
      <w:tr w14:paraId="2768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94" w:type="dxa"/>
            <w:noWrap w:val="0"/>
            <w:vAlign w:val="center"/>
          </w:tcPr>
          <w:p w14:paraId="5AE937D8">
            <w:pPr>
              <w:keepNext w:val="0"/>
              <w:keepLines w:val="0"/>
              <w:pageBreakBefore w:val="0"/>
              <w:widowControl w:val="0"/>
              <w:kinsoku/>
              <w:wordWrap/>
              <w:overflowPunct/>
              <w:topLinePunct w:val="0"/>
              <w:autoSpaceDE/>
              <w:autoSpaceDN/>
              <w:bidi w:val="0"/>
              <w:adjustRightInd/>
              <w:snapToGrid/>
              <w:spacing w:line="180" w:lineRule="exact"/>
              <w:ind w:firstLine="0" w:firstLineChars="0"/>
              <w:jc w:val="center"/>
              <w:textAlignment w:val="auto"/>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1</w:t>
            </w:r>
            <w:r>
              <w:rPr>
                <w:rFonts w:hint="eastAsia" w:ascii="Times New Roman" w:hAnsi="Times New Roman" w:eastAsia="方正仿宋_GBK" w:cs="Times New Roman"/>
                <w:sz w:val="21"/>
                <w:szCs w:val="21"/>
                <w:lang w:val="en-US" w:eastAsia="zh-CN"/>
              </w:rPr>
              <w:t>2</w:t>
            </w:r>
          </w:p>
        </w:tc>
        <w:tc>
          <w:tcPr>
            <w:tcW w:w="5117" w:type="dxa"/>
            <w:gridSpan w:val="3"/>
            <w:noWrap w:val="0"/>
            <w:vAlign w:val="center"/>
          </w:tcPr>
          <w:p w14:paraId="481C5C57">
            <w:pPr>
              <w:spacing w:line="280" w:lineRule="exact"/>
              <w:ind w:left="0" w:leftChars="0" w:firstLine="0" w:firstLineChars="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企业拥有的全部有效发明专利数</w:t>
            </w:r>
          </w:p>
        </w:tc>
        <w:tc>
          <w:tcPr>
            <w:tcW w:w="900" w:type="dxa"/>
            <w:noWrap w:val="0"/>
            <w:vAlign w:val="center"/>
          </w:tcPr>
          <w:p w14:paraId="6EC3B412">
            <w:pPr>
              <w:spacing w:line="280" w:lineRule="exact"/>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w:t>
            </w:r>
          </w:p>
        </w:tc>
        <w:tc>
          <w:tcPr>
            <w:tcW w:w="1428" w:type="dxa"/>
            <w:noWrap w:val="0"/>
            <w:vAlign w:val="center"/>
          </w:tcPr>
          <w:p w14:paraId="3F4A30FB">
            <w:pPr>
              <w:spacing w:line="280" w:lineRule="exact"/>
              <w:ind w:left="0" w:leftChars="0" w:firstLine="0" w:firstLineChars="0"/>
              <w:rPr>
                <w:rFonts w:hint="eastAsia" w:ascii="方正仿宋_GBK" w:hAnsi="方正仿宋_GBK" w:eastAsia="方正仿宋_GBK" w:cs="方正仿宋_GBK"/>
                <w:sz w:val="21"/>
                <w:szCs w:val="21"/>
              </w:rPr>
            </w:pPr>
          </w:p>
        </w:tc>
      </w:tr>
      <w:tr w14:paraId="3F7A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94" w:type="dxa"/>
            <w:noWrap w:val="0"/>
            <w:vAlign w:val="center"/>
          </w:tcPr>
          <w:p w14:paraId="07CA510B">
            <w:pPr>
              <w:keepNext w:val="0"/>
              <w:keepLines w:val="0"/>
              <w:pageBreakBefore w:val="0"/>
              <w:widowControl w:val="0"/>
              <w:kinsoku/>
              <w:wordWrap/>
              <w:overflowPunct/>
              <w:topLinePunct w:val="0"/>
              <w:autoSpaceDE/>
              <w:autoSpaceDN/>
              <w:bidi w:val="0"/>
              <w:adjustRightInd/>
              <w:snapToGrid/>
              <w:spacing w:line="180" w:lineRule="exact"/>
              <w:ind w:firstLine="0" w:firstLineChars="0"/>
              <w:jc w:val="center"/>
              <w:textAlignment w:val="auto"/>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1</w:t>
            </w:r>
            <w:r>
              <w:rPr>
                <w:rFonts w:hint="eastAsia" w:ascii="Times New Roman" w:hAnsi="Times New Roman" w:eastAsia="方正仿宋_GBK" w:cs="Times New Roman"/>
                <w:sz w:val="21"/>
                <w:szCs w:val="21"/>
                <w:lang w:val="en-US" w:eastAsia="zh-CN"/>
              </w:rPr>
              <w:t>3</w:t>
            </w:r>
          </w:p>
        </w:tc>
        <w:tc>
          <w:tcPr>
            <w:tcW w:w="5117" w:type="dxa"/>
            <w:gridSpan w:val="3"/>
            <w:noWrap w:val="0"/>
            <w:vAlign w:val="center"/>
          </w:tcPr>
          <w:p w14:paraId="570BEE84">
            <w:pPr>
              <w:spacing w:line="280" w:lineRule="exact"/>
              <w:ind w:left="0" w:leftChars="0" w:firstLine="0" w:firstLineChars="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sz w:val="21"/>
                <w:szCs w:val="21"/>
              </w:rPr>
              <w:t>当年被受理的专利申请数</w:t>
            </w:r>
          </w:p>
        </w:tc>
        <w:tc>
          <w:tcPr>
            <w:tcW w:w="900" w:type="dxa"/>
            <w:noWrap w:val="0"/>
            <w:vAlign w:val="center"/>
          </w:tcPr>
          <w:p w14:paraId="1FAE49A2">
            <w:pPr>
              <w:spacing w:line="280" w:lineRule="exact"/>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w:t>
            </w:r>
          </w:p>
        </w:tc>
        <w:tc>
          <w:tcPr>
            <w:tcW w:w="1428" w:type="dxa"/>
            <w:noWrap w:val="0"/>
            <w:vAlign w:val="center"/>
          </w:tcPr>
          <w:p w14:paraId="11E56F6C">
            <w:pPr>
              <w:spacing w:line="280" w:lineRule="exact"/>
              <w:ind w:left="0" w:leftChars="0" w:firstLine="0" w:firstLineChars="0"/>
              <w:rPr>
                <w:rFonts w:hint="eastAsia" w:ascii="方正仿宋_GBK" w:hAnsi="方正仿宋_GBK" w:eastAsia="方正仿宋_GBK" w:cs="方正仿宋_GBK"/>
                <w:sz w:val="21"/>
                <w:szCs w:val="21"/>
              </w:rPr>
            </w:pPr>
          </w:p>
        </w:tc>
      </w:tr>
      <w:tr w14:paraId="4BFE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94" w:type="dxa"/>
            <w:noWrap w:val="0"/>
            <w:vAlign w:val="center"/>
          </w:tcPr>
          <w:p w14:paraId="6C3DC0E4">
            <w:pPr>
              <w:keepNext w:val="0"/>
              <w:keepLines w:val="0"/>
              <w:pageBreakBefore w:val="0"/>
              <w:widowControl w:val="0"/>
              <w:kinsoku/>
              <w:wordWrap/>
              <w:overflowPunct/>
              <w:topLinePunct w:val="0"/>
              <w:autoSpaceDE/>
              <w:autoSpaceDN/>
              <w:bidi w:val="0"/>
              <w:adjustRightInd/>
              <w:snapToGrid/>
              <w:spacing w:line="180" w:lineRule="exact"/>
              <w:ind w:firstLine="0" w:firstLineChars="0"/>
              <w:jc w:val="center"/>
              <w:textAlignment w:val="auto"/>
              <w:rPr>
                <w:rFonts w:hint="default" w:ascii="Times New Roman" w:hAnsi="Times New Roman" w:eastAsia="方正仿宋_GBK" w:cs="Times New Roman"/>
                <w:sz w:val="21"/>
                <w:szCs w:val="21"/>
              </w:rPr>
            </w:pPr>
          </w:p>
        </w:tc>
        <w:tc>
          <w:tcPr>
            <w:tcW w:w="5117" w:type="dxa"/>
            <w:gridSpan w:val="3"/>
            <w:noWrap w:val="0"/>
            <w:vAlign w:val="center"/>
          </w:tcPr>
          <w:p w14:paraId="3FE05193">
            <w:pPr>
              <w:spacing w:line="280" w:lineRule="exact"/>
              <w:ind w:left="0" w:leftChars="0" w:firstLine="0" w:firstLineChars="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sz w:val="21"/>
                <w:szCs w:val="21"/>
              </w:rPr>
              <w:t>其中：当年被受理的发明专利申请数</w:t>
            </w:r>
          </w:p>
        </w:tc>
        <w:tc>
          <w:tcPr>
            <w:tcW w:w="900" w:type="dxa"/>
            <w:noWrap w:val="0"/>
            <w:vAlign w:val="center"/>
          </w:tcPr>
          <w:p w14:paraId="023E7CFA">
            <w:pPr>
              <w:spacing w:line="280" w:lineRule="exact"/>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w:t>
            </w:r>
          </w:p>
        </w:tc>
        <w:tc>
          <w:tcPr>
            <w:tcW w:w="1428" w:type="dxa"/>
            <w:noWrap w:val="0"/>
            <w:vAlign w:val="center"/>
          </w:tcPr>
          <w:p w14:paraId="12544DC0">
            <w:pPr>
              <w:spacing w:line="280" w:lineRule="exact"/>
              <w:ind w:left="0" w:leftChars="0" w:firstLine="0" w:firstLineChars="0"/>
              <w:rPr>
                <w:rFonts w:hint="eastAsia" w:ascii="方正仿宋_GBK" w:hAnsi="方正仿宋_GBK" w:eastAsia="方正仿宋_GBK" w:cs="方正仿宋_GBK"/>
                <w:sz w:val="21"/>
                <w:szCs w:val="21"/>
              </w:rPr>
            </w:pPr>
          </w:p>
        </w:tc>
      </w:tr>
      <w:tr w14:paraId="346B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94" w:type="dxa"/>
            <w:noWrap w:val="0"/>
            <w:vAlign w:val="center"/>
          </w:tcPr>
          <w:p w14:paraId="3701C093">
            <w:pPr>
              <w:keepNext w:val="0"/>
              <w:keepLines w:val="0"/>
              <w:pageBreakBefore w:val="0"/>
              <w:widowControl w:val="0"/>
              <w:kinsoku/>
              <w:wordWrap/>
              <w:overflowPunct/>
              <w:topLinePunct w:val="0"/>
              <w:autoSpaceDE/>
              <w:autoSpaceDN/>
              <w:bidi w:val="0"/>
              <w:adjustRightInd/>
              <w:snapToGrid/>
              <w:spacing w:line="180" w:lineRule="exact"/>
              <w:ind w:firstLine="0" w:firstLineChars="0"/>
              <w:jc w:val="center"/>
              <w:textAlignment w:val="auto"/>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1</w:t>
            </w:r>
            <w:r>
              <w:rPr>
                <w:rFonts w:hint="eastAsia" w:ascii="Times New Roman" w:hAnsi="Times New Roman" w:eastAsia="方正仿宋_GBK" w:cs="Times New Roman"/>
                <w:sz w:val="21"/>
                <w:szCs w:val="21"/>
                <w:lang w:val="en-US" w:eastAsia="zh-CN"/>
              </w:rPr>
              <w:t>4</w:t>
            </w:r>
          </w:p>
        </w:tc>
        <w:tc>
          <w:tcPr>
            <w:tcW w:w="5117" w:type="dxa"/>
            <w:gridSpan w:val="3"/>
            <w:noWrap w:val="0"/>
            <w:vAlign w:val="center"/>
          </w:tcPr>
          <w:p w14:paraId="52A0512D">
            <w:pPr>
              <w:spacing w:line="280" w:lineRule="exact"/>
              <w:ind w:left="0" w:leftChars="0" w:firstLine="0" w:firstLineChars="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最近三年主持和参加制定的国际、国家和行业标准数</w:t>
            </w:r>
          </w:p>
        </w:tc>
        <w:tc>
          <w:tcPr>
            <w:tcW w:w="900" w:type="dxa"/>
            <w:noWrap w:val="0"/>
            <w:vAlign w:val="center"/>
          </w:tcPr>
          <w:p w14:paraId="28218667">
            <w:pPr>
              <w:spacing w:line="280" w:lineRule="exact"/>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w:t>
            </w:r>
          </w:p>
        </w:tc>
        <w:tc>
          <w:tcPr>
            <w:tcW w:w="1428" w:type="dxa"/>
            <w:noWrap w:val="0"/>
            <w:vAlign w:val="center"/>
          </w:tcPr>
          <w:p w14:paraId="1FBEA025">
            <w:pPr>
              <w:spacing w:line="280" w:lineRule="exact"/>
              <w:ind w:left="0" w:leftChars="0" w:firstLine="0" w:firstLineChars="0"/>
              <w:rPr>
                <w:rFonts w:hint="eastAsia" w:ascii="方正仿宋_GBK" w:hAnsi="方正仿宋_GBK" w:eastAsia="方正仿宋_GBK" w:cs="方正仿宋_GBK"/>
                <w:sz w:val="21"/>
                <w:szCs w:val="21"/>
              </w:rPr>
            </w:pPr>
          </w:p>
        </w:tc>
      </w:tr>
      <w:tr w14:paraId="36A6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94" w:type="dxa"/>
            <w:noWrap w:val="0"/>
            <w:vAlign w:val="center"/>
          </w:tcPr>
          <w:p w14:paraId="5C4108C6">
            <w:pPr>
              <w:keepNext w:val="0"/>
              <w:keepLines w:val="0"/>
              <w:pageBreakBefore w:val="0"/>
              <w:widowControl w:val="0"/>
              <w:kinsoku/>
              <w:wordWrap/>
              <w:overflowPunct/>
              <w:topLinePunct w:val="0"/>
              <w:autoSpaceDE/>
              <w:autoSpaceDN/>
              <w:bidi w:val="0"/>
              <w:adjustRightInd/>
              <w:snapToGrid/>
              <w:spacing w:line="180" w:lineRule="exact"/>
              <w:ind w:firstLine="0" w:firstLineChars="0"/>
              <w:jc w:val="center"/>
              <w:textAlignment w:val="auto"/>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1</w:t>
            </w:r>
            <w:r>
              <w:rPr>
                <w:rFonts w:hint="eastAsia" w:ascii="Times New Roman" w:hAnsi="Times New Roman" w:eastAsia="方正仿宋_GBK" w:cs="Times New Roman"/>
                <w:sz w:val="21"/>
                <w:szCs w:val="21"/>
                <w:lang w:val="en-US" w:eastAsia="zh-CN"/>
              </w:rPr>
              <w:t>5</w:t>
            </w:r>
          </w:p>
        </w:tc>
        <w:tc>
          <w:tcPr>
            <w:tcW w:w="5117" w:type="dxa"/>
            <w:gridSpan w:val="3"/>
            <w:noWrap w:val="0"/>
            <w:vAlign w:val="center"/>
          </w:tcPr>
          <w:p w14:paraId="11888B6B">
            <w:pPr>
              <w:spacing w:line="280" w:lineRule="exact"/>
              <w:ind w:left="0" w:leftChars="0" w:firstLine="0" w:firstLineChars="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新产品销售收入</w:t>
            </w:r>
          </w:p>
        </w:tc>
        <w:tc>
          <w:tcPr>
            <w:tcW w:w="900" w:type="dxa"/>
            <w:noWrap w:val="0"/>
            <w:vAlign w:val="center"/>
          </w:tcPr>
          <w:p w14:paraId="54F05252">
            <w:pPr>
              <w:spacing w:line="280" w:lineRule="exact"/>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万元</w:t>
            </w:r>
          </w:p>
        </w:tc>
        <w:tc>
          <w:tcPr>
            <w:tcW w:w="1428" w:type="dxa"/>
            <w:noWrap w:val="0"/>
            <w:vAlign w:val="center"/>
          </w:tcPr>
          <w:p w14:paraId="639B7CFA">
            <w:pPr>
              <w:spacing w:line="280" w:lineRule="exact"/>
              <w:ind w:left="0" w:leftChars="0" w:firstLine="0" w:firstLineChars="0"/>
              <w:rPr>
                <w:rFonts w:hint="eastAsia" w:ascii="方正仿宋_GBK" w:hAnsi="方正仿宋_GBK" w:eastAsia="方正仿宋_GBK" w:cs="方正仿宋_GBK"/>
                <w:sz w:val="21"/>
                <w:szCs w:val="21"/>
              </w:rPr>
            </w:pPr>
          </w:p>
        </w:tc>
      </w:tr>
      <w:tr w14:paraId="592C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94" w:type="dxa"/>
            <w:noWrap w:val="0"/>
            <w:vAlign w:val="center"/>
          </w:tcPr>
          <w:p w14:paraId="406A4926">
            <w:pPr>
              <w:keepNext w:val="0"/>
              <w:keepLines w:val="0"/>
              <w:pageBreakBefore w:val="0"/>
              <w:widowControl w:val="0"/>
              <w:kinsoku/>
              <w:wordWrap/>
              <w:overflowPunct/>
              <w:topLinePunct w:val="0"/>
              <w:autoSpaceDE/>
              <w:autoSpaceDN/>
              <w:bidi w:val="0"/>
              <w:adjustRightInd/>
              <w:snapToGrid/>
              <w:spacing w:line="180" w:lineRule="exact"/>
              <w:ind w:firstLine="0" w:firstLineChars="0"/>
              <w:jc w:val="center"/>
              <w:textAlignment w:val="auto"/>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1</w:t>
            </w:r>
            <w:r>
              <w:rPr>
                <w:rFonts w:hint="eastAsia" w:ascii="Times New Roman" w:hAnsi="Times New Roman" w:eastAsia="方正仿宋_GBK" w:cs="Times New Roman"/>
                <w:sz w:val="21"/>
                <w:szCs w:val="21"/>
                <w:lang w:val="en-US" w:eastAsia="zh-CN"/>
              </w:rPr>
              <w:t>6</w:t>
            </w:r>
          </w:p>
        </w:tc>
        <w:tc>
          <w:tcPr>
            <w:tcW w:w="5117" w:type="dxa"/>
            <w:gridSpan w:val="3"/>
            <w:noWrap w:val="0"/>
            <w:vAlign w:val="center"/>
          </w:tcPr>
          <w:p w14:paraId="5BCEC2C3">
            <w:pPr>
              <w:spacing w:line="280" w:lineRule="exact"/>
              <w:ind w:left="0" w:leftChars="0" w:firstLine="0" w:firstLineChars="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新产品销售利润</w:t>
            </w:r>
          </w:p>
        </w:tc>
        <w:tc>
          <w:tcPr>
            <w:tcW w:w="900" w:type="dxa"/>
            <w:noWrap w:val="0"/>
            <w:vAlign w:val="center"/>
          </w:tcPr>
          <w:p w14:paraId="5BC272A0">
            <w:pPr>
              <w:spacing w:line="280" w:lineRule="exact"/>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万元</w:t>
            </w:r>
          </w:p>
        </w:tc>
        <w:tc>
          <w:tcPr>
            <w:tcW w:w="1428" w:type="dxa"/>
            <w:noWrap w:val="0"/>
            <w:vAlign w:val="center"/>
          </w:tcPr>
          <w:p w14:paraId="73A4511D">
            <w:pPr>
              <w:spacing w:line="280" w:lineRule="exact"/>
              <w:ind w:left="0" w:leftChars="0" w:firstLine="0" w:firstLineChars="0"/>
              <w:rPr>
                <w:rFonts w:hint="eastAsia" w:ascii="方正仿宋_GBK" w:hAnsi="方正仿宋_GBK" w:eastAsia="方正仿宋_GBK" w:cs="方正仿宋_GBK"/>
                <w:sz w:val="21"/>
                <w:szCs w:val="21"/>
              </w:rPr>
            </w:pPr>
          </w:p>
        </w:tc>
      </w:tr>
      <w:tr w14:paraId="4A8B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94" w:type="dxa"/>
            <w:noWrap w:val="0"/>
            <w:vAlign w:val="center"/>
          </w:tcPr>
          <w:p w14:paraId="7AD8AE14">
            <w:pPr>
              <w:keepNext w:val="0"/>
              <w:keepLines w:val="0"/>
              <w:pageBreakBefore w:val="0"/>
              <w:widowControl w:val="0"/>
              <w:kinsoku/>
              <w:wordWrap/>
              <w:overflowPunct/>
              <w:topLinePunct w:val="0"/>
              <w:autoSpaceDE/>
              <w:autoSpaceDN/>
              <w:bidi w:val="0"/>
              <w:adjustRightInd/>
              <w:snapToGrid/>
              <w:spacing w:line="180" w:lineRule="exact"/>
              <w:ind w:firstLine="0" w:firstLineChars="0"/>
              <w:jc w:val="center"/>
              <w:textAlignment w:val="auto"/>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1</w:t>
            </w:r>
            <w:r>
              <w:rPr>
                <w:rFonts w:hint="eastAsia" w:ascii="Times New Roman" w:hAnsi="Times New Roman" w:eastAsia="方正仿宋_GBK" w:cs="Times New Roman"/>
                <w:sz w:val="21"/>
                <w:szCs w:val="21"/>
                <w:lang w:val="en-US" w:eastAsia="zh-CN"/>
              </w:rPr>
              <w:t>7</w:t>
            </w:r>
          </w:p>
        </w:tc>
        <w:tc>
          <w:tcPr>
            <w:tcW w:w="5117" w:type="dxa"/>
            <w:gridSpan w:val="3"/>
            <w:noWrap w:val="0"/>
            <w:vAlign w:val="center"/>
          </w:tcPr>
          <w:p w14:paraId="59927E5C">
            <w:pPr>
              <w:spacing w:line="280" w:lineRule="exact"/>
              <w:ind w:left="0" w:leftChars="0" w:firstLine="0" w:firstLineChars="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利润总额</w:t>
            </w:r>
          </w:p>
        </w:tc>
        <w:tc>
          <w:tcPr>
            <w:tcW w:w="900" w:type="dxa"/>
            <w:noWrap w:val="0"/>
            <w:vAlign w:val="center"/>
          </w:tcPr>
          <w:p w14:paraId="6E8161FD">
            <w:pPr>
              <w:spacing w:line="280" w:lineRule="exact"/>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万元</w:t>
            </w:r>
          </w:p>
        </w:tc>
        <w:tc>
          <w:tcPr>
            <w:tcW w:w="1428" w:type="dxa"/>
            <w:noWrap w:val="0"/>
            <w:vAlign w:val="center"/>
          </w:tcPr>
          <w:p w14:paraId="7287B22A">
            <w:pPr>
              <w:spacing w:line="280" w:lineRule="exact"/>
              <w:ind w:left="0" w:leftChars="0" w:firstLine="0" w:firstLineChars="0"/>
              <w:rPr>
                <w:rFonts w:hint="eastAsia" w:ascii="方正仿宋_GBK" w:hAnsi="方正仿宋_GBK" w:eastAsia="方正仿宋_GBK" w:cs="方正仿宋_GBK"/>
                <w:sz w:val="21"/>
                <w:szCs w:val="21"/>
              </w:rPr>
            </w:pPr>
          </w:p>
        </w:tc>
      </w:tr>
      <w:tr w14:paraId="4458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94" w:type="dxa"/>
            <w:noWrap w:val="0"/>
            <w:vAlign w:val="center"/>
          </w:tcPr>
          <w:p w14:paraId="0FBD7C92">
            <w:pPr>
              <w:keepNext w:val="0"/>
              <w:keepLines w:val="0"/>
              <w:pageBreakBefore w:val="0"/>
              <w:widowControl w:val="0"/>
              <w:kinsoku/>
              <w:wordWrap/>
              <w:overflowPunct/>
              <w:topLinePunct w:val="0"/>
              <w:autoSpaceDE/>
              <w:autoSpaceDN/>
              <w:bidi w:val="0"/>
              <w:adjustRightInd/>
              <w:snapToGrid/>
              <w:spacing w:line="180" w:lineRule="exact"/>
              <w:ind w:firstLine="0" w:firstLineChars="0"/>
              <w:jc w:val="center"/>
              <w:textAlignment w:val="auto"/>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1</w:t>
            </w:r>
            <w:r>
              <w:rPr>
                <w:rFonts w:hint="eastAsia" w:ascii="Times New Roman" w:hAnsi="Times New Roman" w:eastAsia="方正仿宋_GBK" w:cs="Times New Roman"/>
                <w:sz w:val="21"/>
                <w:szCs w:val="21"/>
                <w:lang w:val="en-US" w:eastAsia="zh-CN"/>
              </w:rPr>
              <w:t>8</w:t>
            </w:r>
          </w:p>
        </w:tc>
        <w:tc>
          <w:tcPr>
            <w:tcW w:w="5117" w:type="dxa"/>
            <w:gridSpan w:val="3"/>
            <w:noWrap w:val="0"/>
            <w:vAlign w:val="center"/>
          </w:tcPr>
          <w:p w14:paraId="7162AAEE">
            <w:pPr>
              <w:spacing w:line="280" w:lineRule="exact"/>
              <w:ind w:left="0" w:leftChars="0" w:firstLine="0" w:firstLineChars="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sz w:val="21"/>
                <w:szCs w:val="21"/>
              </w:rPr>
              <w:t>获国家自然科学、技术发明、科技进步奖项目数</w:t>
            </w:r>
          </w:p>
        </w:tc>
        <w:tc>
          <w:tcPr>
            <w:tcW w:w="900" w:type="dxa"/>
            <w:noWrap w:val="0"/>
            <w:vAlign w:val="center"/>
          </w:tcPr>
          <w:p w14:paraId="283FE8AC">
            <w:pPr>
              <w:spacing w:line="280" w:lineRule="exact"/>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w:t>
            </w:r>
          </w:p>
        </w:tc>
        <w:tc>
          <w:tcPr>
            <w:tcW w:w="1428" w:type="dxa"/>
            <w:noWrap w:val="0"/>
            <w:vAlign w:val="center"/>
          </w:tcPr>
          <w:p w14:paraId="55B1507A">
            <w:pPr>
              <w:spacing w:line="280" w:lineRule="exact"/>
              <w:ind w:left="0" w:leftChars="0" w:firstLine="0" w:firstLineChars="0"/>
              <w:rPr>
                <w:rFonts w:hint="eastAsia" w:ascii="方正仿宋_GBK" w:hAnsi="方正仿宋_GBK" w:eastAsia="方正仿宋_GBK" w:cs="方正仿宋_GBK"/>
                <w:sz w:val="21"/>
                <w:szCs w:val="21"/>
              </w:rPr>
            </w:pPr>
          </w:p>
        </w:tc>
      </w:tr>
    </w:tbl>
    <w:p w14:paraId="5929AEFE">
      <w:pPr>
        <w:tabs>
          <w:tab w:val="left" w:pos="900"/>
          <w:tab w:val="left" w:pos="1080"/>
        </w:tabs>
        <w:spacing w:line="560" w:lineRule="exact"/>
        <w:ind w:firstLine="477" w:firstLineChars="198"/>
        <w:rPr>
          <w:rFonts w:hint="eastAsia" w:ascii="Times New Roman" w:hAnsi="Times New Roman" w:eastAsia="仿宋_GB2312" w:cs="Times New Roman"/>
          <w:b/>
          <w:color w:val="000000"/>
          <w:sz w:val="24"/>
          <w:szCs w:val="24"/>
        </w:rPr>
      </w:pPr>
      <w:r>
        <w:rPr>
          <w:rFonts w:hint="eastAsia" w:ascii="Times New Roman" w:hAnsi="Times New Roman" w:eastAsia="仿宋_GB2312" w:cs="Times New Roman"/>
          <w:b/>
          <w:color w:val="000000"/>
          <w:sz w:val="24"/>
          <w:szCs w:val="24"/>
        </w:rPr>
        <w:t>填写说明：</w:t>
      </w:r>
    </w:p>
    <w:p w14:paraId="3D5510C9">
      <w:pPr>
        <w:tabs>
          <w:tab w:val="left" w:pos="900"/>
          <w:tab w:val="left" w:pos="1080"/>
        </w:tabs>
        <w:spacing w:line="240" w:lineRule="auto"/>
        <w:ind w:firstLine="475" w:firstLineChars="198"/>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1．企业名称：参评企业需在此表上加盖公章，填写企业名称需与企业公章一致。</w:t>
      </w:r>
    </w:p>
    <w:p w14:paraId="6EA80A69">
      <w:pPr>
        <w:tabs>
          <w:tab w:val="left" w:pos="900"/>
          <w:tab w:val="left" w:pos="1080"/>
        </w:tabs>
        <w:spacing w:line="240" w:lineRule="auto"/>
        <w:ind w:firstLine="475" w:firstLineChars="198"/>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2．统计行业代码：对照《国民经济行业分类与代码（GB/T 4754-2017）》，填写企业主营业务对应的统计“大类”（二位码）编号，如主营业务为“农副食品加工业”的企业，填写“13”。</w:t>
      </w:r>
    </w:p>
    <w:p w14:paraId="2A77D949">
      <w:pPr>
        <w:tabs>
          <w:tab w:val="left" w:pos="900"/>
          <w:tab w:val="left" w:pos="1080"/>
        </w:tabs>
        <w:spacing w:line="240" w:lineRule="auto"/>
        <w:ind w:firstLine="475" w:firstLineChars="198"/>
        <w:rPr>
          <w:rFonts w:hint="eastAsia" w:ascii="Times New Roman" w:hAnsi="Times New Roman" w:eastAsia="仿宋_GB2312" w:cs="Times New Roman"/>
          <w:sz w:val="30"/>
          <w:szCs w:val="30"/>
        </w:rPr>
      </w:pPr>
      <w:r>
        <w:rPr>
          <w:rFonts w:hint="eastAsia" w:ascii="Times New Roman" w:hAnsi="Times New Roman" w:eastAsia="仿宋_GB2312" w:cs="Times New Roman"/>
          <w:color w:val="000000"/>
          <w:sz w:val="24"/>
          <w:szCs w:val="24"/>
        </w:rPr>
        <w:t>3．报告年度：指表中指标统计年度，时间范围从填写评价表的上一年1月1日至12月31日；所有指标的填报时间范围，如无特殊说明，均为报告年度。</w:t>
      </w:r>
    </w:p>
    <w:p w14:paraId="74384424">
      <w:pPr>
        <w:spacing w:before="156" w:beforeLines="50" w:after="156" w:afterLines="50" w:line="560" w:lineRule="exact"/>
        <w:ind w:firstLine="600" w:firstLineChars="200"/>
        <w:outlineLvl w:val="1"/>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二、需提供的附件及证明材料</w:t>
      </w:r>
    </w:p>
    <w:p w14:paraId="6A1E1F21">
      <w:pPr>
        <w:bidi w:val="0"/>
        <w:spacing w:line="588" w:lineRule="exact"/>
        <w:ind w:firstLine="600" w:firstLineChars="200"/>
        <w:rPr>
          <w:rFonts w:hint="eastAsia" w:ascii="Times New Roman" w:hAnsi="Times New Roman" w:eastAsia="方正仿宋_GBK" w:cs="Times New Roman"/>
          <w:sz w:val="30"/>
          <w:szCs w:val="22"/>
        </w:rPr>
      </w:pPr>
      <w:r>
        <w:rPr>
          <w:rFonts w:hint="eastAsia" w:ascii="Times New Roman" w:hAnsi="Times New Roman" w:eastAsia="方正仿宋_GBK" w:cs="Times New Roman"/>
          <w:sz w:val="30"/>
          <w:szCs w:val="22"/>
        </w:rPr>
        <w:t>1．企业对报送资料的真实性、完整性承诺。</w:t>
      </w:r>
    </w:p>
    <w:p w14:paraId="74E6EAD6">
      <w:pPr>
        <w:bidi w:val="0"/>
        <w:spacing w:line="588" w:lineRule="exact"/>
        <w:ind w:firstLine="600" w:firstLineChars="200"/>
        <w:rPr>
          <w:rFonts w:hint="eastAsia" w:ascii="Times New Roman" w:hAnsi="Times New Roman" w:eastAsia="方正仿宋_GBK" w:cs="Times New Roman"/>
          <w:sz w:val="30"/>
          <w:szCs w:val="22"/>
        </w:rPr>
      </w:pPr>
      <w:r>
        <w:rPr>
          <w:rFonts w:hint="eastAsia" w:ascii="Times New Roman" w:hAnsi="Times New Roman" w:eastAsia="方正仿宋_GBK" w:cs="Times New Roman"/>
          <w:sz w:val="30"/>
          <w:szCs w:val="22"/>
        </w:rPr>
        <w:t>2．相关统计和财务报表。相关统计报表主要包括：规模以上工业法人单位研发项目情况（107-1表）、规模以上工业法人单位研发活动及相关情况（107-2表）。未列入国家统计局规模以上工业法人单位研发活动情况统计范围的企业，应参照上述表格格式填报后提交。相关财务报表主要包括：企业资产负债表、损益表、现金流量表。大型企业集团应将与企业主营业务相关下属企业（包括分公司、子公司和控股公司）的107-1表、107-2表、资产负债表、损益表、现金流量表等进行合并填报。</w:t>
      </w:r>
    </w:p>
    <w:p w14:paraId="0E006534">
      <w:pPr>
        <w:bidi w:val="0"/>
        <w:spacing w:line="588" w:lineRule="exact"/>
        <w:ind w:firstLine="600" w:firstLineChars="200"/>
        <w:rPr>
          <w:rFonts w:hint="eastAsia" w:ascii="Times New Roman" w:hAnsi="Times New Roman" w:eastAsia="方正仿宋_GBK" w:cs="Times New Roman"/>
          <w:sz w:val="30"/>
          <w:szCs w:val="22"/>
        </w:rPr>
      </w:pPr>
      <w:r>
        <w:rPr>
          <w:rFonts w:hint="eastAsia" w:ascii="Times New Roman" w:hAnsi="Times New Roman" w:eastAsia="方正仿宋_GBK" w:cs="Times New Roman"/>
          <w:sz w:val="30"/>
          <w:szCs w:val="22"/>
        </w:rPr>
        <w:t>3．评价指标的必要证明材料。主要包括：技术中心高级专家、博士和外部专家、专利信息、主持和参加制定的标准、国家级和省级研发平台、实验室和检测机构、科技奖励等方面的内容。</w:t>
      </w:r>
    </w:p>
    <w:p w14:paraId="327AF3A2">
      <w:pPr>
        <w:spacing w:before="156" w:beforeLines="50" w:after="156" w:afterLines="50" w:line="560" w:lineRule="exact"/>
        <w:ind w:firstLine="600" w:firstLineChars="200"/>
        <w:outlineLvl w:val="1"/>
        <w:rPr>
          <w:rFonts w:hint="eastAsia" w:ascii="黑体" w:hAnsi="Times New Roman" w:eastAsia="黑体" w:cs="Times New Roman"/>
          <w:sz w:val="30"/>
          <w:szCs w:val="30"/>
        </w:rPr>
      </w:pPr>
      <w:r>
        <w:rPr>
          <w:rFonts w:hint="eastAsia" w:ascii="方正黑体_GBK" w:hAnsi="方正黑体_GBK" w:eastAsia="方正黑体_GBK" w:cs="方正黑体_GBK"/>
          <w:sz w:val="30"/>
          <w:szCs w:val="30"/>
        </w:rPr>
        <w:t>三、指标解释和填报说明</w:t>
      </w:r>
    </w:p>
    <w:p w14:paraId="31CE146D">
      <w:pPr>
        <w:spacing w:line="560" w:lineRule="exact"/>
        <w:ind w:firstLine="600" w:firstLineChars="200"/>
        <w:rPr>
          <w:rFonts w:hint="eastAsia" w:ascii="Times New Roman" w:hAnsi="Times New Roman" w:eastAsia="仿宋_GB2312" w:cs="Times New Roman"/>
          <w:sz w:val="30"/>
          <w:szCs w:val="30"/>
        </w:rPr>
      </w:pPr>
      <w:r>
        <w:rPr>
          <w:rFonts w:hint="default" w:ascii="Times New Roman" w:hAnsi="Times New Roman" w:eastAsia="方正楷体_GBK" w:cs="Times New Roman"/>
          <w:sz w:val="30"/>
          <w:szCs w:val="30"/>
        </w:rPr>
        <w:t>1．</w:t>
      </w:r>
      <w:r>
        <w:rPr>
          <w:rFonts w:hint="eastAsia" w:ascii="方正楷体_GBK" w:hAnsi="方正楷体_GBK" w:eastAsia="方正楷体_GBK" w:cs="方正楷体_GBK"/>
          <w:sz w:val="30"/>
          <w:szCs w:val="30"/>
        </w:rPr>
        <w:t>主营业务收入</w:t>
      </w:r>
      <w:r>
        <w:rPr>
          <w:rFonts w:hint="eastAsia" w:ascii="Times New Roman" w:hAnsi="Times New Roman" w:eastAsia="仿宋_GB2312" w:cs="Times New Roman"/>
          <w:sz w:val="30"/>
          <w:szCs w:val="30"/>
        </w:rPr>
        <w:t>：</w:t>
      </w:r>
      <w:r>
        <w:rPr>
          <w:rFonts w:hint="eastAsia" w:ascii="方正仿宋_GBK" w:hAnsi="方正仿宋_GBK" w:eastAsia="方正仿宋_GBK" w:cs="方正仿宋_GBK"/>
          <w:sz w:val="30"/>
          <w:szCs w:val="30"/>
        </w:rPr>
        <w:t>指报告年度内企业确认的销售商品、提供劳务等主营业务的收入。根据会计“主营业务收入”科目的期末贷方余额填报。若会计报告和会计报表中未设置该科目，以“营业收入”代替填报。</w:t>
      </w:r>
    </w:p>
    <w:p w14:paraId="30DCB168">
      <w:pPr>
        <w:spacing w:line="560" w:lineRule="exact"/>
        <w:ind w:firstLine="600" w:firstLineChars="200"/>
        <w:rPr>
          <w:rFonts w:hint="eastAsia" w:ascii="方正仿宋_GBK" w:hAnsi="方正仿宋_GBK" w:eastAsia="方正仿宋_GBK" w:cs="方正仿宋_GBK"/>
          <w:sz w:val="30"/>
          <w:szCs w:val="30"/>
        </w:rPr>
      </w:pPr>
      <w:r>
        <w:rPr>
          <w:rFonts w:hint="default" w:ascii="Times New Roman" w:hAnsi="Times New Roman" w:eastAsia="方正楷体_GBK" w:cs="Times New Roman"/>
          <w:sz w:val="30"/>
          <w:szCs w:val="30"/>
        </w:rPr>
        <w:t>2</w:t>
      </w:r>
      <w:r>
        <w:rPr>
          <w:rFonts w:hint="eastAsia" w:ascii="方正楷体_GBK" w:hAnsi="方正楷体_GBK" w:eastAsia="方正楷体_GBK" w:cs="方正楷体_GBK"/>
          <w:sz w:val="30"/>
          <w:szCs w:val="30"/>
        </w:rPr>
        <w:t>．研究与试验发展（简称“研发”）经费支出</w:t>
      </w:r>
      <w:r>
        <w:rPr>
          <w:rFonts w:hint="eastAsia" w:ascii="Times New Roman" w:hAnsi="Times New Roman" w:eastAsia="仿宋_GB2312" w:cs="Times New Roman"/>
          <w:sz w:val="30"/>
          <w:szCs w:val="30"/>
        </w:rPr>
        <w:t>：</w:t>
      </w:r>
      <w:r>
        <w:rPr>
          <w:rFonts w:hint="eastAsia" w:ascii="方正仿宋_GBK" w:hAnsi="方正仿宋_GBK" w:eastAsia="方正仿宋_GBK" w:cs="方正仿宋_GBK"/>
          <w:sz w:val="30"/>
          <w:szCs w:val="30"/>
        </w:rPr>
        <w:t>指报告年度内企业研发活动的经费支出合计，包括企业内部的日常研发经费支出，当年形成用于研发的固定资产支出和委托外单位开展研发的经费支出。</w:t>
      </w:r>
    </w:p>
    <w:p w14:paraId="15831642">
      <w:pPr>
        <w:spacing w:line="56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楷体_GBK" w:cs="Times New Roman"/>
          <w:sz w:val="30"/>
          <w:szCs w:val="30"/>
        </w:rPr>
        <w:t>3</w:t>
      </w:r>
      <w:r>
        <w:rPr>
          <w:rFonts w:hint="eastAsia" w:ascii="方正楷体_GBK" w:hAnsi="方正楷体_GBK" w:eastAsia="方正楷体_GBK" w:cs="方正楷体_GBK"/>
          <w:sz w:val="30"/>
          <w:szCs w:val="30"/>
        </w:rPr>
        <w:t>．研究与试验发展人员数：</w:t>
      </w:r>
      <w:r>
        <w:rPr>
          <w:rFonts w:hint="default" w:ascii="Times New Roman" w:hAnsi="Times New Roman" w:eastAsia="方正仿宋_GBK" w:cs="Times New Roman"/>
          <w:sz w:val="30"/>
          <w:szCs w:val="30"/>
        </w:rPr>
        <w:t>指报告年度内企业内部直接参加研发项目人员，以及研发活动的管理和直接服务的人员。不包括全年累计从事研发活动时间占制度工作时间10%以下的人员。</w:t>
      </w:r>
    </w:p>
    <w:p w14:paraId="720E0324">
      <w:pPr>
        <w:spacing w:line="560" w:lineRule="exact"/>
        <w:ind w:firstLine="600" w:firstLineChars="200"/>
        <w:rPr>
          <w:rFonts w:hint="eastAsia" w:ascii="Times New Roman" w:hAnsi="Times New Roman" w:eastAsia="仿宋_GB2312" w:cs="Times New Roman"/>
          <w:sz w:val="30"/>
          <w:szCs w:val="30"/>
        </w:rPr>
      </w:pPr>
      <w:r>
        <w:rPr>
          <w:rFonts w:hint="default" w:ascii="Times New Roman" w:hAnsi="Times New Roman" w:eastAsia="方正楷体_GBK" w:cs="Times New Roman"/>
          <w:sz w:val="30"/>
          <w:szCs w:val="30"/>
        </w:rPr>
        <w:t>4</w:t>
      </w:r>
      <w:r>
        <w:rPr>
          <w:rFonts w:hint="eastAsia" w:ascii="方正楷体_GBK" w:hAnsi="方正楷体_GBK" w:eastAsia="方正楷体_GBK" w:cs="方正楷体_GBK"/>
          <w:sz w:val="30"/>
          <w:szCs w:val="30"/>
        </w:rPr>
        <w:t>．企业职工总数：</w:t>
      </w:r>
      <w:r>
        <w:rPr>
          <w:rFonts w:hint="eastAsia" w:ascii="方正仿宋_GBK" w:hAnsi="方正仿宋_GBK" w:eastAsia="方正仿宋_GBK" w:cs="方正仿宋_GBK"/>
          <w:sz w:val="30"/>
          <w:szCs w:val="30"/>
        </w:rPr>
        <w:t>指企业在报告年度内平均拥有的从业人员数，按照统计指标“从业人员平均人数”计算。</w:t>
      </w:r>
    </w:p>
    <w:p w14:paraId="21660E77">
      <w:pPr>
        <w:spacing w:line="560" w:lineRule="exact"/>
        <w:ind w:firstLine="600" w:firstLineChars="200"/>
        <w:rPr>
          <w:rFonts w:hint="eastAsia" w:ascii="Times New Roman" w:hAnsi="Times New Roman" w:eastAsia="仿宋_GB2312" w:cs="Times New Roman"/>
          <w:sz w:val="30"/>
          <w:szCs w:val="30"/>
        </w:rPr>
      </w:pPr>
      <w:r>
        <w:rPr>
          <w:rFonts w:hint="default" w:ascii="Times New Roman" w:hAnsi="Times New Roman" w:eastAsia="方正楷体_GBK" w:cs="Times New Roman"/>
          <w:sz w:val="30"/>
          <w:szCs w:val="30"/>
        </w:rPr>
        <w:t>5</w:t>
      </w: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highlight w:val="none"/>
        </w:rPr>
        <w:t>技术中心高级</w:t>
      </w:r>
      <w:r>
        <w:rPr>
          <w:rFonts w:hint="eastAsia" w:ascii="方正楷体_GBK" w:hAnsi="方正楷体_GBK" w:eastAsia="方正楷体_GBK" w:cs="方正楷体_GBK"/>
          <w:sz w:val="30"/>
          <w:szCs w:val="30"/>
          <w:highlight w:val="none"/>
          <w:lang w:eastAsia="zh-CN"/>
        </w:rPr>
        <w:t>职称</w:t>
      </w:r>
      <w:r>
        <w:rPr>
          <w:rFonts w:hint="eastAsia" w:ascii="方正楷体_GBK" w:hAnsi="方正楷体_GBK" w:eastAsia="方正楷体_GBK" w:cs="方正楷体_GBK"/>
          <w:sz w:val="30"/>
          <w:szCs w:val="30"/>
          <w:highlight w:val="none"/>
        </w:rPr>
        <w:t>人数</w:t>
      </w:r>
      <w:r>
        <w:rPr>
          <w:rFonts w:hint="eastAsia" w:ascii="Times New Roman" w:hAnsi="Times New Roman" w:eastAsia="仿宋_GB2312" w:cs="Times New Roman"/>
          <w:sz w:val="30"/>
          <w:szCs w:val="30"/>
          <w:highlight w:val="none"/>
        </w:rPr>
        <w:t>：</w:t>
      </w:r>
      <w:r>
        <w:rPr>
          <w:rFonts w:hint="eastAsia" w:ascii="方正仿宋_GBK" w:hAnsi="方正仿宋_GBK" w:eastAsia="方正仿宋_GBK" w:cs="方正仿宋_GBK"/>
          <w:sz w:val="30"/>
          <w:szCs w:val="30"/>
          <w:highlight w:val="none"/>
        </w:rPr>
        <w:t>指全职在技术中心工作</w:t>
      </w:r>
      <w:r>
        <w:rPr>
          <w:rFonts w:hint="eastAsia" w:ascii="方正仿宋_GBK" w:hAnsi="方正仿宋_GBK" w:eastAsia="方正仿宋_GBK" w:cs="方正仿宋_GBK"/>
          <w:sz w:val="30"/>
          <w:szCs w:val="30"/>
          <w:highlight w:val="none"/>
          <w:lang w:eastAsia="zh-CN"/>
        </w:rPr>
        <w:t>，获得高级职称的人员</w:t>
      </w:r>
      <w:r>
        <w:rPr>
          <w:rFonts w:hint="eastAsia" w:ascii="方正仿宋_GBK" w:hAnsi="方正仿宋_GBK" w:eastAsia="方正仿宋_GBK" w:cs="方正仿宋_GBK"/>
          <w:sz w:val="30"/>
          <w:szCs w:val="30"/>
          <w:highlight w:val="none"/>
        </w:rPr>
        <w:t>数。</w:t>
      </w:r>
    </w:p>
    <w:p w14:paraId="11EFB947">
      <w:pPr>
        <w:spacing w:line="560" w:lineRule="exact"/>
        <w:ind w:firstLine="600" w:firstLineChars="200"/>
        <w:rPr>
          <w:rFonts w:hint="eastAsia" w:ascii="Times New Roman" w:hAnsi="Times New Roman" w:eastAsia="仿宋_GB2312" w:cs="Times New Roman"/>
          <w:sz w:val="30"/>
          <w:szCs w:val="30"/>
        </w:rPr>
      </w:pPr>
      <w:r>
        <w:rPr>
          <w:rFonts w:hint="default" w:ascii="Times New Roman" w:hAnsi="Times New Roman" w:eastAsia="仿宋_GB2312" w:cs="Times New Roman"/>
          <w:sz w:val="30"/>
          <w:szCs w:val="30"/>
        </w:rPr>
        <w:t>6</w:t>
      </w:r>
      <w:r>
        <w:rPr>
          <w:rFonts w:hint="eastAsia" w:ascii="Times New Roman" w:hAnsi="Times New Roman" w:eastAsia="仿宋_GB2312" w:cs="Times New Roman"/>
          <w:sz w:val="30"/>
          <w:szCs w:val="30"/>
        </w:rPr>
        <w:t>．</w:t>
      </w:r>
      <w:r>
        <w:rPr>
          <w:rFonts w:hint="eastAsia" w:ascii="楷体_GB2312" w:hAnsi="Times New Roman" w:eastAsia="楷体_GB2312" w:cs="Times New Roman"/>
          <w:sz w:val="30"/>
          <w:szCs w:val="30"/>
        </w:rPr>
        <w:t>技术中心博士人数</w:t>
      </w:r>
      <w:r>
        <w:rPr>
          <w:rFonts w:hint="eastAsia" w:ascii="Times New Roman" w:hAnsi="Times New Roman" w:eastAsia="仿宋_GB2312" w:cs="Times New Roman"/>
          <w:sz w:val="30"/>
          <w:szCs w:val="30"/>
        </w:rPr>
        <w:t>：</w:t>
      </w:r>
      <w:r>
        <w:rPr>
          <w:rFonts w:hint="eastAsia" w:ascii="方正仿宋_GBK" w:hAnsi="方正仿宋_GBK" w:eastAsia="方正仿宋_GBK" w:cs="方正仿宋_GBK"/>
          <w:sz w:val="30"/>
          <w:szCs w:val="30"/>
        </w:rPr>
        <w:t>指全职在技术中心工作、获得博士学位的人员数。在站博士后可以作为博士进行统计。</w:t>
      </w:r>
    </w:p>
    <w:p w14:paraId="4D23D0B3">
      <w:pPr>
        <w:spacing w:line="560" w:lineRule="exact"/>
        <w:ind w:firstLine="600" w:firstLineChars="200"/>
        <w:rPr>
          <w:rFonts w:hint="eastAsia" w:ascii="方正仿宋_GBK" w:hAnsi="方正仿宋_GBK" w:eastAsia="方正仿宋_GBK" w:cs="方正仿宋_GBK"/>
          <w:sz w:val="30"/>
          <w:szCs w:val="30"/>
        </w:rPr>
      </w:pPr>
      <w:r>
        <w:rPr>
          <w:rFonts w:hint="default" w:ascii="Times New Roman" w:hAnsi="Times New Roman" w:eastAsia="方正楷体_GBK" w:cs="Times New Roman"/>
          <w:sz w:val="30"/>
          <w:szCs w:val="30"/>
          <w:lang w:val="en-US" w:eastAsia="zh-CN"/>
        </w:rPr>
        <w:t>7</w:t>
      </w:r>
      <w:r>
        <w:rPr>
          <w:rFonts w:hint="eastAsia" w:ascii="方正楷体_GBK" w:hAnsi="方正楷体_GBK" w:eastAsia="方正楷体_GBK" w:cs="方正楷体_GBK"/>
          <w:sz w:val="30"/>
          <w:szCs w:val="30"/>
        </w:rPr>
        <w:t>．企业全部研发项目数</w:t>
      </w:r>
      <w:r>
        <w:rPr>
          <w:rFonts w:hint="eastAsia" w:ascii="Times New Roman" w:hAnsi="Times New Roman" w:eastAsia="仿宋_GB2312" w:cs="Times New Roman"/>
          <w:sz w:val="30"/>
          <w:szCs w:val="30"/>
        </w:rPr>
        <w:t>：</w:t>
      </w:r>
      <w:r>
        <w:rPr>
          <w:rFonts w:hint="eastAsia" w:ascii="方正仿宋_GBK" w:hAnsi="方正仿宋_GBK" w:eastAsia="方正仿宋_GBK" w:cs="方正仿宋_GBK"/>
          <w:sz w:val="30"/>
          <w:szCs w:val="30"/>
        </w:rPr>
        <w:t>指企业在报告年度当年立项并开展研发（制）工作、以前年份立项仍继续进行研发（制）的研究开发项目或课题，包括当年完成和年内研发工作已告失败的项目，不包括委托外单位进行研发的项目。从研发项目类型看，包括新产品开发项目数、新技术开发项目数、新工艺开发项目数、新服务开发项目数与基础研究项目数之和。</w:t>
      </w:r>
    </w:p>
    <w:p w14:paraId="579CC198">
      <w:pPr>
        <w:spacing w:line="560" w:lineRule="exact"/>
        <w:ind w:firstLine="600" w:firstLineChars="200"/>
        <w:rPr>
          <w:rFonts w:hint="eastAsia" w:ascii="方正仿宋_GBK" w:hAnsi="方正仿宋_GBK" w:eastAsia="方正仿宋_GBK" w:cs="方正仿宋_GBK"/>
          <w:sz w:val="30"/>
          <w:szCs w:val="30"/>
        </w:rPr>
      </w:pPr>
      <w:r>
        <w:rPr>
          <w:rFonts w:hint="default" w:ascii="Times New Roman" w:hAnsi="Times New Roman" w:eastAsia="方正楷体_GBK" w:cs="Times New Roman"/>
          <w:sz w:val="30"/>
          <w:szCs w:val="30"/>
          <w:lang w:val="en-US" w:eastAsia="zh-CN"/>
        </w:rPr>
        <w:t>8</w:t>
      </w:r>
      <w:r>
        <w:rPr>
          <w:rFonts w:hint="eastAsia" w:ascii="方正楷体_GBK" w:hAnsi="方正楷体_GBK" w:eastAsia="方正楷体_GBK" w:cs="方正楷体_GBK"/>
          <w:sz w:val="30"/>
          <w:szCs w:val="30"/>
        </w:rPr>
        <w:t>．基础研究和应用研究项目数：</w:t>
      </w:r>
      <w:r>
        <w:rPr>
          <w:rFonts w:hint="eastAsia" w:ascii="方正仿宋_GBK" w:hAnsi="方正仿宋_GBK" w:eastAsia="方正仿宋_GBK" w:cs="方正仿宋_GBK"/>
          <w:sz w:val="30"/>
          <w:szCs w:val="30"/>
        </w:rPr>
        <w:t>指企业全部研发项目中主要以科学原理的探索与发现、技术原理的研究为目标的项目数。</w:t>
      </w:r>
    </w:p>
    <w:p w14:paraId="5D035466">
      <w:pPr>
        <w:spacing w:line="560" w:lineRule="exact"/>
        <w:ind w:firstLine="600" w:firstLineChars="200"/>
        <w:rPr>
          <w:rFonts w:hint="eastAsia" w:ascii="方正仿宋_GBK" w:hAnsi="方正仿宋_GBK" w:eastAsia="方正仿宋_GBK" w:cs="方正仿宋_GBK"/>
          <w:sz w:val="30"/>
          <w:szCs w:val="30"/>
        </w:rPr>
      </w:pPr>
      <w:r>
        <w:rPr>
          <w:rFonts w:hint="default" w:ascii="Times New Roman" w:hAnsi="Times New Roman" w:eastAsia="方正楷体_GBK" w:cs="Times New Roman"/>
          <w:sz w:val="30"/>
          <w:szCs w:val="30"/>
          <w:lang w:val="en-US" w:eastAsia="zh-CN"/>
        </w:rPr>
        <w:t>9</w:t>
      </w:r>
      <w:r>
        <w:rPr>
          <w:rFonts w:hint="eastAsia" w:ascii="方正楷体_GBK" w:hAnsi="方正楷体_GBK" w:eastAsia="方正楷体_GBK" w:cs="方正楷体_GBK"/>
          <w:sz w:val="30"/>
          <w:szCs w:val="30"/>
          <w:lang w:val="en-US" w:eastAsia="zh-CN"/>
        </w:rPr>
        <w:t>．国家级研发平台数：</w:t>
      </w:r>
      <w:r>
        <w:rPr>
          <w:rFonts w:hint="eastAsia" w:ascii="方正仿宋_GBK" w:hAnsi="方正仿宋_GBK" w:eastAsia="方正仿宋_GBK" w:cs="方正仿宋_GBK"/>
          <w:sz w:val="30"/>
          <w:szCs w:val="30"/>
        </w:rPr>
        <w:t>指企业作为项目法人承担建设、国家有关部门归口管理且已经获得批复的科技类、研究开发类平台数。</w:t>
      </w:r>
    </w:p>
    <w:p w14:paraId="43220001">
      <w:pPr>
        <w:spacing w:line="560" w:lineRule="exact"/>
        <w:ind w:firstLine="600" w:firstLineChars="200"/>
        <w:rPr>
          <w:rFonts w:hint="eastAsia" w:ascii="方正仿宋_GBK" w:hAnsi="方正仿宋_GBK" w:eastAsia="方正仿宋_GBK" w:cs="方正仿宋_GBK"/>
          <w:sz w:val="30"/>
          <w:szCs w:val="30"/>
        </w:rPr>
      </w:pPr>
      <w:r>
        <w:rPr>
          <w:rFonts w:hint="default" w:ascii="Times New Roman" w:hAnsi="Times New Roman" w:eastAsia="方正楷体_GBK" w:cs="Times New Roman"/>
          <w:sz w:val="30"/>
          <w:szCs w:val="30"/>
          <w:lang w:val="en-US" w:eastAsia="zh-CN"/>
        </w:rPr>
        <w:t>10</w:t>
      </w:r>
      <w:r>
        <w:rPr>
          <w:rFonts w:hint="eastAsia" w:ascii="方正楷体_GBK" w:hAnsi="方正楷体_GBK" w:eastAsia="方正楷体_GBK" w:cs="方正楷体_GBK"/>
          <w:sz w:val="30"/>
          <w:szCs w:val="30"/>
          <w:lang w:val="en-US" w:eastAsia="zh-CN"/>
        </w:rPr>
        <w:t>．省级研发平台数：</w:t>
      </w:r>
      <w:r>
        <w:rPr>
          <w:rFonts w:hint="eastAsia" w:ascii="方正仿宋_GBK" w:hAnsi="方正仿宋_GBK" w:eastAsia="方正仿宋_GBK" w:cs="方正仿宋_GBK"/>
          <w:sz w:val="30"/>
          <w:szCs w:val="30"/>
        </w:rPr>
        <w:t>指企业作为项目法人承担建设、省级政府有关部门归口管理且已获得批复的科技类、研究开发类平台数。</w:t>
      </w:r>
    </w:p>
    <w:p w14:paraId="33B8D9CB">
      <w:pPr>
        <w:spacing w:line="560" w:lineRule="exact"/>
        <w:ind w:firstLine="600" w:firstLineChars="200"/>
        <w:rPr>
          <w:rFonts w:hint="eastAsia" w:ascii="方正仿宋_GBK" w:hAnsi="方正仿宋_GBK" w:eastAsia="方正仿宋_GBK" w:cs="方正仿宋_GBK"/>
          <w:sz w:val="30"/>
          <w:szCs w:val="30"/>
        </w:rPr>
      </w:pPr>
      <w:r>
        <w:rPr>
          <w:rFonts w:hint="default" w:ascii="Times New Roman" w:hAnsi="Times New Roman" w:eastAsia="方正楷体_GBK" w:cs="Times New Roman"/>
          <w:sz w:val="30"/>
          <w:szCs w:val="30"/>
          <w:lang w:val="en-US" w:eastAsia="zh-CN"/>
        </w:rPr>
        <w:t>11</w:t>
      </w:r>
      <w:r>
        <w:rPr>
          <w:rFonts w:hint="eastAsia" w:ascii="方正楷体_GBK" w:hAnsi="方正楷体_GBK" w:eastAsia="方正楷体_GBK" w:cs="方正楷体_GBK"/>
          <w:sz w:val="30"/>
          <w:szCs w:val="30"/>
          <w:lang w:val="en-US" w:eastAsia="zh-CN"/>
        </w:rPr>
        <w:t>．通过国家（国际组织）认证的实验室和检测机构数：</w:t>
      </w:r>
      <w:r>
        <w:rPr>
          <w:rFonts w:hint="eastAsia" w:ascii="方正仿宋_GBK" w:hAnsi="方正仿宋_GBK" w:eastAsia="方正仿宋_GBK" w:cs="方正仿宋_GBK"/>
          <w:sz w:val="30"/>
          <w:szCs w:val="30"/>
        </w:rPr>
        <w:t>指通过中华人民共和国有关国家部门和国际组织认证认可的、仍在有效期内的实验室、检验检测机构数。</w:t>
      </w:r>
    </w:p>
    <w:p w14:paraId="630064BA">
      <w:pPr>
        <w:spacing w:line="560" w:lineRule="exact"/>
        <w:ind w:firstLine="600" w:firstLineChars="200"/>
        <w:rPr>
          <w:rFonts w:hint="eastAsia" w:ascii="方正仿宋_GBK" w:hAnsi="方正仿宋_GBK" w:eastAsia="方正仿宋_GBK" w:cs="方正仿宋_GBK"/>
          <w:sz w:val="30"/>
          <w:szCs w:val="30"/>
        </w:rPr>
      </w:pPr>
      <w:r>
        <w:rPr>
          <w:rFonts w:hint="default" w:ascii="Times New Roman" w:hAnsi="Times New Roman" w:eastAsia="方正楷体_GBK" w:cs="Times New Roman"/>
          <w:sz w:val="30"/>
          <w:szCs w:val="30"/>
          <w:lang w:val="en-US" w:eastAsia="zh-CN"/>
        </w:rPr>
        <w:t>12</w:t>
      </w:r>
      <w:r>
        <w:rPr>
          <w:rFonts w:hint="eastAsia" w:ascii="方正楷体_GBK" w:hAnsi="方正楷体_GBK" w:eastAsia="方正楷体_GBK" w:cs="方正楷体_GBK"/>
          <w:sz w:val="30"/>
          <w:szCs w:val="30"/>
          <w:lang w:val="en-US" w:eastAsia="zh-CN"/>
        </w:rPr>
        <w:t>．企业技术开发仪器设备原值：</w:t>
      </w:r>
      <w:r>
        <w:rPr>
          <w:rFonts w:hint="eastAsia" w:ascii="方正仿宋_GBK" w:hAnsi="方正仿宋_GBK" w:eastAsia="方正仿宋_GBK" w:cs="方正仿宋_GBK"/>
          <w:sz w:val="30"/>
          <w:szCs w:val="30"/>
        </w:rPr>
        <w:t>指报告年度末企业用于研发的固定资产中的仪器和设备原价。其中，设备包括用于研发活动的各类机器和设备、试验测量仪器、运输工具、工装工具等。</w:t>
      </w:r>
    </w:p>
    <w:p w14:paraId="122B2649">
      <w:pPr>
        <w:spacing w:line="560" w:lineRule="exact"/>
        <w:ind w:firstLine="600" w:firstLineChars="200"/>
        <w:rPr>
          <w:rFonts w:hint="eastAsia" w:ascii="方正仿宋_GBK" w:hAnsi="方正仿宋_GBK" w:eastAsia="方正仿宋_GBK" w:cs="方正仿宋_GBK"/>
          <w:sz w:val="30"/>
          <w:szCs w:val="30"/>
        </w:rPr>
      </w:pPr>
      <w:r>
        <w:rPr>
          <w:rFonts w:hint="default" w:ascii="Times New Roman" w:hAnsi="Times New Roman" w:eastAsia="方正楷体_GBK" w:cs="Times New Roman"/>
          <w:sz w:val="30"/>
          <w:szCs w:val="30"/>
          <w:lang w:val="en-US" w:eastAsia="zh-CN"/>
        </w:rPr>
        <w:t>13</w:t>
      </w:r>
      <w:r>
        <w:rPr>
          <w:rFonts w:hint="eastAsia" w:ascii="方正楷体_GBK" w:hAnsi="方正楷体_GBK" w:eastAsia="方正楷体_GBK" w:cs="方正楷体_GBK"/>
          <w:sz w:val="30"/>
          <w:szCs w:val="30"/>
          <w:lang w:val="en-US" w:eastAsia="zh-CN"/>
        </w:rPr>
        <w:t>．企业拥有的全部有效发明专利数</w:t>
      </w:r>
      <w:r>
        <w:rPr>
          <w:rFonts w:hint="eastAsia" w:ascii="Times New Roman" w:hAnsi="Times New Roman" w:eastAsia="仿宋_GB2312" w:cs="Times New Roman"/>
          <w:sz w:val="30"/>
          <w:szCs w:val="30"/>
        </w:rPr>
        <w:t>：</w:t>
      </w:r>
      <w:r>
        <w:rPr>
          <w:rFonts w:hint="eastAsia" w:ascii="方正仿宋_GBK" w:hAnsi="方正仿宋_GBK" w:eastAsia="方正仿宋_GBK" w:cs="方正仿宋_GBK"/>
          <w:sz w:val="30"/>
          <w:szCs w:val="30"/>
        </w:rPr>
        <w:t>指报告年度末企业作为专利权人拥有的、经国内外知识产权行政部门授予且在有效期内的发明专利件数。</w:t>
      </w:r>
    </w:p>
    <w:p w14:paraId="32AD2279">
      <w:pPr>
        <w:spacing w:line="560" w:lineRule="exact"/>
        <w:ind w:firstLine="600" w:firstLineChars="200"/>
        <w:rPr>
          <w:rFonts w:hint="eastAsia" w:ascii="方正仿宋_GBK" w:hAnsi="方正仿宋_GBK" w:eastAsia="方正仿宋_GBK" w:cs="方正仿宋_GBK"/>
          <w:sz w:val="30"/>
          <w:szCs w:val="30"/>
        </w:rPr>
      </w:pPr>
      <w:r>
        <w:rPr>
          <w:rFonts w:hint="default" w:ascii="Times New Roman" w:hAnsi="Times New Roman" w:eastAsia="方正楷体_GBK" w:cs="Times New Roman"/>
          <w:sz w:val="30"/>
          <w:szCs w:val="30"/>
          <w:lang w:val="en-US" w:eastAsia="zh-CN"/>
        </w:rPr>
        <w:t>14</w:t>
      </w:r>
      <w:r>
        <w:rPr>
          <w:rFonts w:hint="eastAsia" w:ascii="方正楷体_GBK" w:hAnsi="方正楷体_GBK" w:eastAsia="方正楷体_GBK" w:cs="方正楷体_GBK"/>
          <w:sz w:val="30"/>
          <w:szCs w:val="30"/>
          <w:lang w:val="en-US" w:eastAsia="zh-CN"/>
        </w:rPr>
        <w:t>．当年被受理的专利申请数：</w:t>
      </w:r>
      <w:r>
        <w:rPr>
          <w:rFonts w:hint="eastAsia" w:ascii="方正仿宋_GBK" w:hAnsi="方正仿宋_GBK" w:eastAsia="方正仿宋_GBK" w:cs="方正仿宋_GBK"/>
          <w:sz w:val="30"/>
          <w:szCs w:val="30"/>
        </w:rPr>
        <w:t>指报告年度内企业向专利行政部门提出专利申请并被受理的专利件数。</w:t>
      </w:r>
    </w:p>
    <w:p w14:paraId="01E7A1BF">
      <w:pPr>
        <w:spacing w:line="560" w:lineRule="exact"/>
        <w:ind w:firstLine="600" w:firstLineChars="200"/>
        <w:rPr>
          <w:rFonts w:hint="eastAsia" w:ascii="Times New Roman" w:hAnsi="Times New Roman" w:eastAsia="仿宋_GB2312" w:cs="Times New Roman"/>
          <w:sz w:val="30"/>
          <w:szCs w:val="30"/>
        </w:rPr>
      </w:pPr>
      <w:r>
        <w:rPr>
          <w:rFonts w:hint="default" w:ascii="Times New Roman" w:hAnsi="Times New Roman" w:eastAsia="方正楷体_GBK" w:cs="Times New Roman"/>
          <w:sz w:val="30"/>
          <w:szCs w:val="30"/>
          <w:lang w:val="en-US" w:eastAsia="zh-CN"/>
        </w:rPr>
        <w:t>15</w:t>
      </w:r>
      <w:r>
        <w:rPr>
          <w:rFonts w:hint="eastAsia" w:ascii="方正楷体_GBK" w:hAnsi="方正楷体_GBK" w:eastAsia="方正楷体_GBK" w:cs="方正楷体_GBK"/>
          <w:sz w:val="30"/>
          <w:szCs w:val="30"/>
          <w:lang w:val="en-US" w:eastAsia="zh-CN"/>
        </w:rPr>
        <w:t>．当年被受理的发明专利申请数：</w:t>
      </w:r>
      <w:r>
        <w:rPr>
          <w:rFonts w:hint="eastAsia" w:ascii="方正仿宋_GBK" w:hAnsi="方正仿宋_GBK" w:eastAsia="方正仿宋_GBK" w:cs="方正仿宋_GBK"/>
          <w:sz w:val="30"/>
          <w:szCs w:val="30"/>
        </w:rPr>
        <w:t>指报告年度内企业向专利行政部门提出发明专利申请并被受理的专利件数。</w:t>
      </w:r>
    </w:p>
    <w:p w14:paraId="6A8D5566">
      <w:pPr>
        <w:spacing w:line="560" w:lineRule="exact"/>
        <w:ind w:firstLine="600" w:firstLineChars="200"/>
        <w:rPr>
          <w:rFonts w:hint="eastAsia" w:ascii="方正仿宋_GBK" w:hAnsi="方正仿宋_GBK" w:eastAsia="方正仿宋_GBK" w:cs="方正仿宋_GBK"/>
          <w:sz w:val="30"/>
          <w:szCs w:val="30"/>
        </w:rPr>
      </w:pPr>
      <w:r>
        <w:rPr>
          <w:rFonts w:hint="default" w:ascii="Times New Roman" w:hAnsi="Times New Roman" w:eastAsia="方正楷体_GBK" w:cs="Times New Roman"/>
          <w:sz w:val="30"/>
          <w:szCs w:val="30"/>
          <w:lang w:val="en-US" w:eastAsia="zh-CN"/>
        </w:rPr>
        <w:t>16</w:t>
      </w:r>
      <w:r>
        <w:rPr>
          <w:rFonts w:hint="eastAsia" w:ascii="方正楷体_GBK" w:hAnsi="方正楷体_GBK" w:eastAsia="方正楷体_GBK" w:cs="方正楷体_GBK"/>
          <w:sz w:val="30"/>
          <w:szCs w:val="30"/>
          <w:lang w:val="en-US" w:eastAsia="zh-CN"/>
        </w:rPr>
        <w:t>．最近三年主持和参加制定的国际、国家和行业标准数：</w:t>
      </w:r>
      <w:r>
        <w:rPr>
          <w:rFonts w:hint="eastAsia" w:ascii="方正仿宋_GBK" w:hAnsi="方正仿宋_GBK" w:eastAsia="方正仿宋_GBK" w:cs="方正仿宋_GBK"/>
          <w:sz w:val="30"/>
          <w:szCs w:val="30"/>
        </w:rPr>
        <w:t>指企业在报告年度、报告年度前一年、报告年度前二年主持或参加制定，目前仍有效执行的国际、国家、行业标准的数量。</w:t>
      </w:r>
    </w:p>
    <w:p w14:paraId="093678B3">
      <w:pPr>
        <w:spacing w:line="560" w:lineRule="exact"/>
        <w:ind w:firstLine="600" w:firstLineChars="200"/>
        <w:rPr>
          <w:rFonts w:hint="eastAsia" w:ascii="Times New Roman" w:hAnsi="Times New Roman" w:eastAsia="仿宋_GB2312" w:cs="Times New Roman"/>
          <w:sz w:val="30"/>
          <w:szCs w:val="30"/>
        </w:rPr>
      </w:pPr>
      <w:r>
        <w:rPr>
          <w:rFonts w:hint="default" w:ascii="Times New Roman" w:hAnsi="Times New Roman" w:eastAsia="方正楷体_GBK" w:cs="Times New Roman"/>
          <w:sz w:val="30"/>
          <w:szCs w:val="30"/>
          <w:lang w:val="en-US" w:eastAsia="zh-CN"/>
        </w:rPr>
        <w:t>17</w:t>
      </w:r>
      <w:r>
        <w:rPr>
          <w:rFonts w:hint="eastAsia" w:ascii="方正楷体_GBK" w:hAnsi="方正楷体_GBK" w:eastAsia="方正楷体_GBK" w:cs="方正楷体_GBK"/>
          <w:sz w:val="30"/>
          <w:szCs w:val="30"/>
          <w:lang w:val="en-US" w:eastAsia="zh-CN"/>
        </w:rPr>
        <w:t>．新产品销售收入</w:t>
      </w:r>
      <w:r>
        <w:rPr>
          <w:rFonts w:hint="eastAsia" w:ascii="Times New Roman" w:hAnsi="Times New Roman" w:eastAsia="仿宋_GB2312" w:cs="Times New Roman"/>
          <w:sz w:val="30"/>
          <w:szCs w:val="30"/>
        </w:rPr>
        <w:t>：</w:t>
      </w:r>
      <w:r>
        <w:rPr>
          <w:rFonts w:hint="eastAsia" w:ascii="方正仿宋_GBK" w:hAnsi="方正仿宋_GBK" w:eastAsia="方正仿宋_GBK" w:cs="方正仿宋_GBK"/>
          <w:sz w:val="30"/>
          <w:szCs w:val="30"/>
        </w:rPr>
        <w:t>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等方面全新的、或者作出明显改进的服务实现的营业收入。</w:t>
      </w:r>
    </w:p>
    <w:p w14:paraId="10606963">
      <w:pPr>
        <w:spacing w:line="560" w:lineRule="exact"/>
        <w:ind w:firstLine="600" w:firstLineChars="200"/>
        <w:rPr>
          <w:rFonts w:hint="eastAsia" w:ascii="方正仿宋_GBK" w:hAnsi="方正仿宋_GBK" w:eastAsia="方正仿宋_GBK" w:cs="方正仿宋_GBK"/>
          <w:sz w:val="30"/>
          <w:szCs w:val="30"/>
        </w:rPr>
      </w:pPr>
      <w:r>
        <w:rPr>
          <w:rFonts w:hint="default" w:ascii="Times New Roman" w:hAnsi="Times New Roman" w:eastAsia="方正楷体_GBK" w:cs="Times New Roman"/>
          <w:sz w:val="30"/>
          <w:szCs w:val="30"/>
          <w:lang w:val="en-US" w:eastAsia="zh-CN"/>
        </w:rPr>
        <w:t>18</w:t>
      </w:r>
      <w:r>
        <w:rPr>
          <w:rFonts w:hint="eastAsia" w:ascii="方正楷体_GBK" w:hAnsi="方正楷体_GBK" w:eastAsia="方正楷体_GBK" w:cs="方正楷体_GBK"/>
          <w:sz w:val="30"/>
          <w:szCs w:val="30"/>
          <w:lang w:val="en-US" w:eastAsia="zh-CN"/>
        </w:rPr>
        <w:t>．新产品销售利润：</w:t>
      </w:r>
      <w:r>
        <w:rPr>
          <w:rFonts w:hint="eastAsia" w:ascii="方正仿宋_GBK" w:hAnsi="方正仿宋_GBK" w:eastAsia="方正仿宋_GBK" w:cs="方正仿宋_GBK"/>
          <w:sz w:val="30"/>
          <w:szCs w:val="30"/>
        </w:rPr>
        <w:t>指报告年度内企业通过销售新产品实现的销售（营业）利润。</w:t>
      </w:r>
    </w:p>
    <w:p w14:paraId="47844E35">
      <w:pPr>
        <w:spacing w:line="560" w:lineRule="exact"/>
        <w:ind w:firstLine="600" w:firstLineChars="200"/>
        <w:rPr>
          <w:rFonts w:hint="eastAsia" w:ascii="方正仿宋_GBK" w:hAnsi="方正仿宋_GBK" w:eastAsia="方正仿宋_GBK" w:cs="方正仿宋_GBK"/>
          <w:sz w:val="30"/>
          <w:szCs w:val="30"/>
        </w:rPr>
      </w:pPr>
      <w:r>
        <w:rPr>
          <w:rFonts w:hint="default" w:ascii="Times New Roman" w:hAnsi="Times New Roman" w:eastAsia="仿宋_GB2312" w:cs="Times New Roman"/>
          <w:sz w:val="30"/>
          <w:szCs w:val="30"/>
          <w:lang w:val="en-US" w:eastAsia="zh-CN"/>
        </w:rPr>
        <w:t>1</w:t>
      </w:r>
      <w:r>
        <w:rPr>
          <w:rFonts w:hint="default" w:ascii="Times New Roman" w:hAnsi="Times New Roman" w:eastAsia="方正楷体_GBK" w:cs="Times New Roman"/>
          <w:sz w:val="30"/>
          <w:szCs w:val="30"/>
          <w:lang w:val="en-US" w:eastAsia="zh-CN"/>
        </w:rPr>
        <w:t>9</w:t>
      </w:r>
      <w:r>
        <w:rPr>
          <w:rFonts w:hint="eastAsia" w:ascii="方正楷体_GBK" w:hAnsi="方正楷体_GBK" w:eastAsia="方正楷体_GBK" w:cs="方正楷体_GBK"/>
          <w:sz w:val="30"/>
          <w:szCs w:val="30"/>
        </w:rPr>
        <w:t>．利润总额</w:t>
      </w:r>
      <w:r>
        <w:rPr>
          <w:rFonts w:hint="eastAsia" w:ascii="Times New Roman" w:hAnsi="Times New Roman" w:eastAsia="仿宋_GB2312" w:cs="Times New Roman"/>
          <w:sz w:val="30"/>
          <w:szCs w:val="30"/>
        </w:rPr>
        <w:t>：</w:t>
      </w:r>
      <w:r>
        <w:rPr>
          <w:rFonts w:hint="eastAsia" w:ascii="方正仿宋_GBK" w:hAnsi="方正仿宋_GBK" w:eastAsia="方正仿宋_GBK" w:cs="方正仿宋_GBK"/>
          <w:sz w:val="30"/>
          <w:szCs w:val="30"/>
        </w:rPr>
        <w:t>指报告年度企业生产经营过程中各种收入扣除各种耗费后的盈余，反映企业在报告期内实现的盈亏总额。</w:t>
      </w:r>
    </w:p>
    <w:p w14:paraId="75157EFB">
      <w:pPr>
        <w:spacing w:line="560" w:lineRule="exact"/>
        <w:ind w:firstLine="600" w:firstLineChars="200"/>
        <w:rPr>
          <w:rFonts w:hint="eastAsia" w:ascii="方正仿宋_GBK" w:hAnsi="方正仿宋_GBK" w:eastAsia="方正仿宋_GBK" w:cs="方正仿宋_GBK"/>
          <w:sz w:val="30"/>
          <w:szCs w:val="30"/>
        </w:rPr>
      </w:pPr>
      <w:r>
        <w:rPr>
          <w:rFonts w:hint="default" w:ascii="Times New Roman" w:hAnsi="Times New Roman" w:eastAsia="仿宋_GB2312" w:cs="Times New Roman"/>
          <w:sz w:val="30"/>
          <w:szCs w:val="30"/>
        </w:rPr>
        <w:t>2</w:t>
      </w:r>
      <w:r>
        <w:rPr>
          <w:rFonts w:hint="default" w:ascii="Times New Roman" w:hAnsi="Times New Roman" w:eastAsia="仿宋_GB2312" w:cs="Times New Roman"/>
          <w:sz w:val="30"/>
          <w:szCs w:val="30"/>
          <w:lang w:val="en-US" w:eastAsia="zh-CN"/>
        </w:rPr>
        <w:t>0</w:t>
      </w:r>
      <w:r>
        <w:rPr>
          <w:rFonts w:hint="eastAsia" w:ascii="Times New Roman" w:hAnsi="Times New Roman" w:eastAsia="仿宋_GB2312" w:cs="Times New Roman"/>
          <w:sz w:val="30"/>
          <w:szCs w:val="30"/>
        </w:rPr>
        <w:t>．</w:t>
      </w:r>
      <w:r>
        <w:rPr>
          <w:rFonts w:hint="eastAsia" w:ascii="方正楷体_GBK" w:hAnsi="方正楷体_GBK" w:eastAsia="方正楷体_GBK" w:cs="方正楷体_GBK"/>
          <w:sz w:val="30"/>
          <w:szCs w:val="30"/>
        </w:rPr>
        <w:t>获国家自然科学、技术发明、科技进步奖项目数：</w:t>
      </w:r>
      <w:r>
        <w:rPr>
          <w:rFonts w:hint="eastAsia" w:ascii="方正仿宋_GBK" w:hAnsi="方正仿宋_GBK" w:eastAsia="方正仿宋_GBK" w:cs="方正仿宋_GBK"/>
          <w:sz w:val="30"/>
          <w:szCs w:val="30"/>
        </w:rPr>
        <w:t>指企业在报告年度、报告年度前一年度获得的由国务院设立并颁发的“国家自然科学奖”、“国家技术发明奖”和“国家科学技术进步奖”的项目总数。</w:t>
      </w:r>
    </w:p>
    <w:p w14:paraId="2812A002">
      <w:pPr>
        <w:spacing w:line="560" w:lineRule="exact"/>
        <w:ind w:firstLine="601"/>
        <w:rPr>
          <w:rFonts w:hint="eastAsia" w:ascii="方正仿宋_GBK" w:hAnsi="方正仿宋_GBK" w:eastAsia="方正仿宋_GBK" w:cs="方正仿宋_GBK"/>
          <w:sz w:val="30"/>
          <w:szCs w:val="30"/>
        </w:rPr>
        <w:sectPr>
          <w:pgSz w:w="11906" w:h="16838"/>
          <w:pgMar w:top="1440" w:right="1800" w:bottom="1440" w:left="1800" w:header="851" w:footer="992" w:gutter="0"/>
          <w:pgNumType w:fmt="decimal"/>
          <w:cols w:space="720" w:num="1"/>
          <w:docGrid w:type="lines" w:linePitch="312" w:charSpace="0"/>
        </w:sectPr>
      </w:pPr>
    </w:p>
    <w:p w14:paraId="031E76E7">
      <w:pPr>
        <w:spacing w:line="560" w:lineRule="exact"/>
        <w:ind w:left="0" w:leftChars="0" w:firstLine="0" w:firstLineChars="0"/>
        <w:outlineLvl w:val="0"/>
        <w:rPr>
          <w:rFonts w:hint="default" w:ascii="Times New Roman" w:hAnsi="Times New Roman" w:eastAsia="黑体" w:cs="Times New Roman"/>
          <w:sz w:val="30"/>
          <w:szCs w:val="30"/>
        </w:rPr>
      </w:pPr>
      <w:r>
        <w:rPr>
          <w:rFonts w:hint="eastAsia" w:ascii="方正黑体_GBK" w:hAnsi="方正黑体_GBK" w:eastAsia="方正黑体_GBK" w:cs="方正黑体_GBK"/>
          <w:sz w:val="30"/>
          <w:szCs w:val="30"/>
        </w:rPr>
        <w:t>附件</w:t>
      </w:r>
      <w:r>
        <w:rPr>
          <w:rFonts w:hint="default" w:ascii="Times New Roman" w:hAnsi="Times New Roman" w:eastAsia="方正黑体_GBK" w:cs="Times New Roman"/>
          <w:sz w:val="30"/>
          <w:szCs w:val="30"/>
          <w:lang w:val="en-US" w:eastAsia="zh"/>
        </w:rPr>
        <w:t>1-</w:t>
      </w:r>
      <w:r>
        <w:rPr>
          <w:rFonts w:hint="default" w:ascii="Times New Roman" w:hAnsi="Times New Roman" w:eastAsia="黑体" w:cs="Times New Roman"/>
          <w:sz w:val="30"/>
          <w:szCs w:val="30"/>
        </w:rPr>
        <w:t>3</w:t>
      </w:r>
    </w:p>
    <w:p w14:paraId="40D2C19F">
      <w:pPr>
        <w:spacing w:before="624" w:beforeLines="200" w:after="624" w:afterLines="200" w:line="560" w:lineRule="exact"/>
        <w:ind w:left="0" w:leftChars="0" w:firstLine="0" w:firstLineChars="0"/>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w:t>
      </w:r>
      <w:r>
        <w:rPr>
          <w:rFonts w:hint="eastAsia" w:ascii="方正小标宋_GBK" w:hAnsi="方正小标宋_GBK" w:eastAsia="方正小标宋_GBK" w:cs="方正小标宋_GBK"/>
          <w:sz w:val="40"/>
          <w:szCs w:val="40"/>
          <w:lang w:eastAsia="zh-CN"/>
        </w:rPr>
        <w:t>企业技术中心</w:t>
      </w:r>
      <w:r>
        <w:rPr>
          <w:rFonts w:hint="eastAsia" w:ascii="方正小标宋_GBK" w:hAnsi="方正小标宋_GBK" w:eastAsia="方正小标宋_GBK" w:cs="方正小标宋_GBK"/>
          <w:sz w:val="40"/>
          <w:szCs w:val="40"/>
        </w:rPr>
        <w:t>工作总结》提纲</w:t>
      </w:r>
    </w:p>
    <w:p w14:paraId="5C0A5230">
      <w:pPr>
        <w:bidi w:val="0"/>
        <w:spacing w:line="588" w:lineRule="exact"/>
        <w:ind w:firstLine="600" w:firstLineChars="200"/>
        <w:rPr>
          <w:rFonts w:hint="eastAsia" w:ascii="Times New Roman" w:hAnsi="Times New Roman" w:eastAsia="方正仿宋_GBK" w:cs="Times New Roman"/>
          <w:sz w:val="30"/>
          <w:szCs w:val="22"/>
        </w:rPr>
      </w:pPr>
      <w:r>
        <w:rPr>
          <w:rFonts w:hint="eastAsia" w:ascii="Times New Roman" w:hAnsi="Times New Roman" w:eastAsia="方正仿宋_GBK" w:cs="Times New Roman"/>
          <w:sz w:val="30"/>
          <w:szCs w:val="22"/>
        </w:rPr>
        <w:t>已认定的</w:t>
      </w:r>
      <w:r>
        <w:rPr>
          <w:rFonts w:hint="eastAsia" w:ascii="Times New Roman" w:hAnsi="Times New Roman" w:eastAsia="方正仿宋_GBK" w:cs="Times New Roman"/>
          <w:sz w:val="30"/>
          <w:szCs w:val="22"/>
          <w:lang w:eastAsia="zh-CN"/>
        </w:rPr>
        <w:t>企业技术中心</w:t>
      </w:r>
      <w:r>
        <w:rPr>
          <w:rFonts w:hint="eastAsia" w:ascii="Times New Roman" w:hAnsi="Times New Roman" w:eastAsia="方正仿宋_GBK" w:cs="Times New Roman"/>
          <w:sz w:val="30"/>
          <w:szCs w:val="22"/>
        </w:rPr>
        <w:t>需在评价年度提交工作总结，以全面总结报告年度和报告年度前一年度企业技术创新与技术中心工作情况。主要包括如下内容：</w:t>
      </w:r>
    </w:p>
    <w:p w14:paraId="740B9711">
      <w:pPr>
        <w:bidi w:val="0"/>
        <w:spacing w:line="588" w:lineRule="exact"/>
        <w:ind w:firstLine="600" w:firstLineChars="200"/>
        <w:rPr>
          <w:rFonts w:hint="eastAsia" w:ascii="Times New Roman" w:hAnsi="Times New Roman" w:eastAsia="方正仿宋_GBK" w:cs="Times New Roman"/>
          <w:sz w:val="30"/>
          <w:szCs w:val="22"/>
        </w:rPr>
      </w:pPr>
      <w:r>
        <w:rPr>
          <w:rFonts w:hint="eastAsia" w:ascii="Times New Roman" w:hAnsi="Times New Roman" w:eastAsia="方正仿宋_GBK" w:cs="Times New Roman"/>
          <w:sz w:val="30"/>
          <w:szCs w:val="22"/>
        </w:rPr>
        <w:t>1．简要分析企业所在行业创新趋势和特点，以及企业在该行业中的地位和竞争优势。</w:t>
      </w:r>
    </w:p>
    <w:p w14:paraId="78D75421">
      <w:pPr>
        <w:bidi w:val="0"/>
        <w:spacing w:line="588" w:lineRule="exact"/>
        <w:ind w:firstLine="600" w:firstLineChars="200"/>
        <w:rPr>
          <w:rFonts w:hint="eastAsia" w:ascii="Times New Roman" w:hAnsi="Times New Roman" w:eastAsia="方正仿宋_GBK" w:cs="Times New Roman"/>
          <w:sz w:val="30"/>
          <w:szCs w:val="22"/>
        </w:rPr>
      </w:pPr>
      <w:r>
        <w:rPr>
          <w:rFonts w:hint="eastAsia" w:ascii="Times New Roman" w:hAnsi="Times New Roman" w:eastAsia="方正仿宋_GBK" w:cs="Times New Roman"/>
          <w:sz w:val="30"/>
          <w:szCs w:val="22"/>
        </w:rPr>
        <w:t>2．企业技术创新体系建设情况，包括企业技术创新体系基本情况、技术中心组织建设、技术中心创新机制建设、产学研合作创新机制建设、国际化创新合作网络建设、企业技术创新基础设施建设等。</w:t>
      </w:r>
    </w:p>
    <w:p w14:paraId="6BF3B6AF">
      <w:pPr>
        <w:bidi w:val="0"/>
        <w:spacing w:line="588" w:lineRule="exact"/>
        <w:ind w:firstLine="600" w:firstLineChars="200"/>
        <w:rPr>
          <w:rFonts w:hint="eastAsia" w:ascii="Times New Roman" w:hAnsi="Times New Roman" w:eastAsia="方正仿宋_GBK" w:cs="Times New Roman"/>
          <w:sz w:val="30"/>
          <w:szCs w:val="22"/>
        </w:rPr>
      </w:pPr>
      <w:r>
        <w:rPr>
          <w:rFonts w:hint="eastAsia" w:ascii="Times New Roman" w:hAnsi="Times New Roman" w:eastAsia="方正仿宋_GBK" w:cs="Times New Roman"/>
          <w:sz w:val="30"/>
          <w:szCs w:val="22"/>
        </w:rPr>
        <w:t>3．企业技术创新活动开展情况，包括重点创新项目的组织实施、关键核心技术和产品开发等。</w:t>
      </w:r>
    </w:p>
    <w:p w14:paraId="6798B2D9">
      <w:pPr>
        <w:bidi w:val="0"/>
        <w:spacing w:line="588" w:lineRule="exact"/>
        <w:ind w:firstLine="600" w:firstLineChars="200"/>
        <w:rPr>
          <w:rFonts w:hint="eastAsia" w:ascii="Times New Roman" w:hAnsi="Times New Roman" w:eastAsia="方正仿宋_GBK" w:cs="Times New Roman"/>
          <w:sz w:val="30"/>
          <w:szCs w:val="22"/>
        </w:rPr>
      </w:pPr>
      <w:r>
        <w:rPr>
          <w:rFonts w:hint="eastAsia" w:ascii="Times New Roman" w:hAnsi="Times New Roman" w:eastAsia="方正仿宋_GBK" w:cs="Times New Roman"/>
          <w:sz w:val="30"/>
          <w:szCs w:val="22"/>
        </w:rPr>
        <w:t>4．企业技术中心取得的主要创新成果，形成的核心技术及自主知识产权情况，重点介绍相关技术成果对企业核心产品研发、核心竞争力提升的支撑作用，以及取得的经济社会效益。</w:t>
      </w:r>
    </w:p>
    <w:p w14:paraId="61006845">
      <w:pPr>
        <w:bidi w:val="0"/>
        <w:spacing w:line="588"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方正仿宋_GBK" w:cs="Times New Roman"/>
          <w:sz w:val="30"/>
          <w:szCs w:val="22"/>
        </w:rPr>
        <w:t>5．其他有特色的工作情况。</w:t>
      </w:r>
    </w:p>
    <w:p w14:paraId="5E3D70AB">
      <w:pPr>
        <w:pStyle w:val="2"/>
        <w:spacing w:before="120" w:after="120" w:line="560" w:lineRule="exact"/>
        <w:ind w:firstLine="596" w:firstLineChars="198"/>
        <w:rPr>
          <w:rFonts w:hint="eastAsia" w:ascii="Times New Roman" w:hAnsi="Times New Roman" w:eastAsia="仿宋_GB2312"/>
          <w:sz w:val="30"/>
          <w:szCs w:val="30"/>
        </w:rPr>
        <w:sectPr>
          <w:pgSz w:w="11906" w:h="16838"/>
          <w:pgMar w:top="1440" w:right="1800" w:bottom="1440" w:left="1800" w:header="851" w:footer="992" w:gutter="0"/>
          <w:pgNumType w:fmt="decimal"/>
          <w:cols w:space="720" w:num="1"/>
          <w:docGrid w:type="lines" w:linePitch="312" w:charSpace="0"/>
        </w:sectPr>
      </w:pPr>
    </w:p>
    <w:p w14:paraId="4AFC7975">
      <w:pPr>
        <w:spacing w:line="560" w:lineRule="exact"/>
        <w:ind w:left="0" w:leftChars="0" w:firstLine="0" w:firstLineChars="0"/>
        <w:outlineLvl w:val="0"/>
        <w:rPr>
          <w:rFonts w:hint="default" w:ascii="Times New Roman" w:hAnsi="Times New Roman" w:eastAsia="黑体" w:cs="Times New Roman"/>
          <w:sz w:val="30"/>
          <w:szCs w:val="30"/>
        </w:rPr>
      </w:pPr>
      <w:r>
        <w:rPr>
          <w:rFonts w:hint="eastAsia" w:ascii="方正黑体_GBK" w:hAnsi="方正黑体_GBK" w:eastAsia="方正黑体_GBK" w:cs="方正黑体_GBK"/>
          <w:sz w:val="30"/>
          <w:szCs w:val="30"/>
        </w:rPr>
        <w:t>附件</w:t>
      </w:r>
      <w:r>
        <w:rPr>
          <w:rFonts w:hint="default" w:ascii="Times New Roman" w:hAnsi="Times New Roman" w:eastAsia="方正黑体_GBK" w:cs="Times New Roman"/>
          <w:sz w:val="30"/>
          <w:szCs w:val="30"/>
          <w:lang w:val="en-US" w:eastAsia="zh"/>
        </w:rPr>
        <w:t>1-</w:t>
      </w:r>
      <w:r>
        <w:rPr>
          <w:rFonts w:hint="default" w:ascii="Times New Roman" w:hAnsi="Times New Roman" w:eastAsia="黑体" w:cs="Times New Roman"/>
          <w:sz w:val="30"/>
          <w:szCs w:val="30"/>
        </w:rPr>
        <w:t>4</w:t>
      </w:r>
    </w:p>
    <w:p w14:paraId="46365CC4">
      <w:pPr>
        <w:spacing w:before="624" w:beforeLines="200" w:after="624" w:afterLines="200" w:line="560" w:lineRule="exact"/>
        <w:ind w:left="0" w:leftChars="0" w:firstLine="0" w:firstLineChars="0"/>
        <w:jc w:val="center"/>
        <w:rPr>
          <w:rFonts w:hint="eastAsia" w:ascii="方正小标宋简体" w:hAnsi="Times New Roman" w:eastAsia="方正小标宋简体" w:cs="Times New Roman"/>
          <w:sz w:val="40"/>
          <w:szCs w:val="40"/>
        </w:rPr>
      </w:pPr>
      <w:r>
        <w:rPr>
          <w:rFonts w:hint="eastAsia" w:ascii="方正小标宋_GBK" w:hAnsi="方正小标宋_GBK" w:eastAsia="方正小标宋_GBK" w:cs="方正小标宋_GBK"/>
          <w:sz w:val="40"/>
          <w:szCs w:val="40"/>
        </w:rPr>
        <w:t>享受企业技术中心政策情况</w:t>
      </w:r>
    </w:p>
    <w:p w14:paraId="4DC03705">
      <w:pPr>
        <w:bidi w:val="0"/>
        <w:spacing w:line="588" w:lineRule="exact"/>
        <w:ind w:firstLine="600" w:firstLineChars="200"/>
        <w:rPr>
          <w:rFonts w:hint="eastAsia" w:ascii="Times New Roman" w:hAnsi="Times New Roman" w:eastAsia="方正仿宋_GBK" w:cs="Times New Roman"/>
          <w:sz w:val="30"/>
          <w:szCs w:val="22"/>
        </w:rPr>
      </w:pPr>
      <w:r>
        <w:rPr>
          <w:rFonts w:hint="eastAsia" w:ascii="Times New Roman" w:hAnsi="Times New Roman" w:eastAsia="方正仿宋_GBK" w:cs="Times New Roman"/>
          <w:sz w:val="30"/>
          <w:szCs w:val="22"/>
        </w:rPr>
        <w:t>一、企业技术中心（分中心）名称：</w:t>
      </w:r>
    </w:p>
    <w:p w14:paraId="2D0845D5">
      <w:pPr>
        <w:bidi w:val="0"/>
        <w:spacing w:line="588" w:lineRule="exact"/>
        <w:ind w:firstLine="600" w:firstLineChars="200"/>
        <w:rPr>
          <w:rFonts w:hint="eastAsia" w:ascii="Times New Roman" w:hAnsi="Times New Roman" w:eastAsia="方正仿宋_GBK" w:cs="Times New Roman"/>
          <w:sz w:val="30"/>
          <w:szCs w:val="22"/>
        </w:rPr>
      </w:pPr>
      <w:r>
        <w:rPr>
          <w:rFonts w:hint="eastAsia" w:ascii="Times New Roman" w:hAnsi="Times New Roman" w:eastAsia="方正仿宋_GBK" w:cs="Times New Roman"/>
          <w:sz w:val="30"/>
          <w:szCs w:val="22"/>
        </w:rPr>
        <w:t>二、获得国家认定时间：</w:t>
      </w:r>
    </w:p>
    <w:p w14:paraId="0152E836">
      <w:pPr>
        <w:bidi w:val="0"/>
        <w:spacing w:line="588" w:lineRule="exact"/>
        <w:ind w:firstLine="600" w:firstLineChars="200"/>
        <w:rPr>
          <w:rFonts w:hint="eastAsia" w:ascii="Times New Roman" w:hAnsi="Times New Roman" w:eastAsia="仿宋_GB2312" w:cs="Times New Roman"/>
          <w:sz w:val="30"/>
          <w:szCs w:val="22"/>
        </w:rPr>
      </w:pPr>
      <w:r>
        <w:rPr>
          <w:rFonts w:hint="eastAsia" w:ascii="Times New Roman" w:hAnsi="Times New Roman" w:eastAsia="方正仿宋_GBK" w:cs="Times New Roman"/>
          <w:sz w:val="30"/>
          <w:szCs w:val="22"/>
        </w:rPr>
        <w:t>三、过去两年享受支持科技创新进口税收政策免税情况统</w:t>
      </w:r>
      <w:r>
        <w:rPr>
          <w:rFonts w:hint="eastAsia" w:ascii="Times New Roman" w:hAnsi="Times New Roman" w:eastAsia="仿宋_GB2312" w:cs="Times New Roman"/>
          <w:sz w:val="30"/>
          <w:szCs w:val="30"/>
        </w:rPr>
        <w:t>计：</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601"/>
        <w:gridCol w:w="1055"/>
        <w:gridCol w:w="731"/>
        <w:gridCol w:w="1155"/>
        <w:gridCol w:w="1619"/>
        <w:gridCol w:w="2337"/>
      </w:tblGrid>
      <w:tr w14:paraId="7182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604" w:type="dxa"/>
            <w:noWrap w:val="0"/>
            <w:vAlign w:val="center"/>
          </w:tcPr>
          <w:p w14:paraId="5FFD3C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序号</w:t>
            </w:r>
          </w:p>
        </w:tc>
        <w:tc>
          <w:tcPr>
            <w:tcW w:w="601" w:type="dxa"/>
            <w:noWrap w:val="0"/>
            <w:vAlign w:val="center"/>
          </w:tcPr>
          <w:p w14:paraId="78A3AC6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年份</w:t>
            </w:r>
          </w:p>
        </w:tc>
        <w:tc>
          <w:tcPr>
            <w:tcW w:w="1055" w:type="dxa"/>
            <w:noWrap w:val="0"/>
            <w:tcMar>
              <w:top w:w="0" w:type="dxa"/>
              <w:left w:w="108" w:type="dxa"/>
              <w:bottom w:w="0" w:type="dxa"/>
              <w:right w:w="108" w:type="dxa"/>
            </w:tcMar>
            <w:vAlign w:val="center"/>
          </w:tcPr>
          <w:p w14:paraId="6FFF4E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进口货物名称</w:t>
            </w:r>
          </w:p>
        </w:tc>
        <w:tc>
          <w:tcPr>
            <w:tcW w:w="731" w:type="dxa"/>
            <w:noWrap w:val="0"/>
            <w:tcMar>
              <w:top w:w="0" w:type="dxa"/>
              <w:left w:w="108" w:type="dxa"/>
              <w:bottom w:w="0" w:type="dxa"/>
              <w:right w:w="108" w:type="dxa"/>
            </w:tcMar>
            <w:vAlign w:val="center"/>
          </w:tcPr>
          <w:p w14:paraId="30EA1F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进口数量</w:t>
            </w:r>
          </w:p>
        </w:tc>
        <w:tc>
          <w:tcPr>
            <w:tcW w:w="1155" w:type="dxa"/>
            <w:noWrap w:val="0"/>
            <w:tcMar>
              <w:top w:w="0" w:type="dxa"/>
              <w:left w:w="108" w:type="dxa"/>
              <w:bottom w:w="0" w:type="dxa"/>
              <w:right w:w="108" w:type="dxa"/>
            </w:tcMar>
            <w:vAlign w:val="center"/>
          </w:tcPr>
          <w:p w14:paraId="310DE2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进口金额（万元）</w:t>
            </w:r>
          </w:p>
        </w:tc>
        <w:tc>
          <w:tcPr>
            <w:tcW w:w="1619" w:type="dxa"/>
            <w:noWrap w:val="0"/>
            <w:tcMar>
              <w:top w:w="0" w:type="dxa"/>
              <w:left w:w="108" w:type="dxa"/>
              <w:bottom w:w="0" w:type="dxa"/>
              <w:right w:w="108" w:type="dxa"/>
            </w:tcMar>
            <w:vAlign w:val="center"/>
          </w:tcPr>
          <w:p w14:paraId="580C92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免征进口关税金额（万元）</w:t>
            </w:r>
          </w:p>
        </w:tc>
        <w:tc>
          <w:tcPr>
            <w:tcW w:w="2337" w:type="dxa"/>
            <w:noWrap w:val="0"/>
            <w:tcMar>
              <w:top w:w="0" w:type="dxa"/>
              <w:left w:w="108" w:type="dxa"/>
              <w:bottom w:w="0" w:type="dxa"/>
              <w:right w:w="108" w:type="dxa"/>
            </w:tcMar>
            <w:vAlign w:val="center"/>
          </w:tcPr>
          <w:p w14:paraId="1C020B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免征进口环节增值税、消费税金额（万元）</w:t>
            </w:r>
          </w:p>
        </w:tc>
      </w:tr>
      <w:tr w14:paraId="3150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604" w:type="dxa"/>
            <w:noWrap w:val="0"/>
            <w:vAlign w:val="center"/>
          </w:tcPr>
          <w:p w14:paraId="0388711C">
            <w:pPr>
              <w:widowControl/>
              <w:spacing w:line="588" w:lineRule="exact"/>
              <w:ind w:firstLine="600" w:firstLineChars="200"/>
              <w:jc w:val="center"/>
              <w:rPr>
                <w:rFonts w:hint="eastAsia" w:ascii="Times New Roman" w:hAnsi="Times New Roman" w:eastAsia="仿宋_GB2312" w:cs="Times New Roman"/>
                <w:color w:val="000000"/>
                <w:kern w:val="0"/>
                <w:sz w:val="30"/>
                <w:szCs w:val="21"/>
              </w:rPr>
            </w:pPr>
            <w:r>
              <w:rPr>
                <w:rFonts w:hint="eastAsia" w:ascii="Times New Roman" w:hAnsi="Times New Roman" w:eastAsia="仿宋_GB2312" w:cs="Times New Roman"/>
                <w:color w:val="000000"/>
                <w:kern w:val="0"/>
                <w:sz w:val="30"/>
                <w:szCs w:val="21"/>
              </w:rPr>
              <w:t>1</w:t>
            </w:r>
          </w:p>
        </w:tc>
        <w:tc>
          <w:tcPr>
            <w:tcW w:w="601" w:type="dxa"/>
            <w:noWrap w:val="0"/>
            <w:vAlign w:val="center"/>
          </w:tcPr>
          <w:p w14:paraId="2A971815">
            <w:pPr>
              <w:widowControl/>
              <w:spacing w:line="588" w:lineRule="exact"/>
              <w:ind w:firstLine="600" w:firstLineChars="200"/>
              <w:jc w:val="center"/>
              <w:rPr>
                <w:rFonts w:hint="eastAsia" w:ascii="Times New Roman" w:hAnsi="Times New Roman" w:eastAsia="仿宋_GB2312" w:cs="Times New Roman"/>
                <w:color w:val="000000"/>
                <w:kern w:val="0"/>
                <w:sz w:val="30"/>
                <w:szCs w:val="21"/>
              </w:rPr>
            </w:pPr>
          </w:p>
        </w:tc>
        <w:tc>
          <w:tcPr>
            <w:tcW w:w="1055" w:type="dxa"/>
            <w:noWrap w:val="0"/>
            <w:tcMar>
              <w:top w:w="0" w:type="dxa"/>
              <w:left w:w="108" w:type="dxa"/>
              <w:bottom w:w="0" w:type="dxa"/>
              <w:right w:w="108" w:type="dxa"/>
            </w:tcMar>
            <w:vAlign w:val="center"/>
          </w:tcPr>
          <w:p w14:paraId="3DEEA7C3">
            <w:pPr>
              <w:widowControl/>
              <w:spacing w:line="588" w:lineRule="exact"/>
              <w:ind w:left="0" w:leftChars="0" w:firstLine="0" w:firstLineChars="0"/>
              <w:jc w:val="center"/>
              <w:rPr>
                <w:rFonts w:hint="eastAsia" w:ascii="Times New Roman" w:hAnsi="Times New Roman" w:eastAsia="仿宋_GB2312" w:cs="Times New Roman"/>
                <w:color w:val="000000"/>
                <w:kern w:val="0"/>
                <w:sz w:val="30"/>
                <w:szCs w:val="21"/>
              </w:rPr>
            </w:pPr>
          </w:p>
        </w:tc>
        <w:tc>
          <w:tcPr>
            <w:tcW w:w="731" w:type="dxa"/>
            <w:noWrap w:val="0"/>
            <w:tcMar>
              <w:top w:w="0" w:type="dxa"/>
              <w:left w:w="108" w:type="dxa"/>
              <w:bottom w:w="0" w:type="dxa"/>
              <w:right w:w="108" w:type="dxa"/>
            </w:tcMar>
            <w:vAlign w:val="center"/>
          </w:tcPr>
          <w:p w14:paraId="779ECC03">
            <w:pPr>
              <w:widowControl/>
              <w:spacing w:line="588" w:lineRule="exact"/>
              <w:ind w:left="0" w:leftChars="0" w:firstLine="300" w:firstLineChars="100"/>
              <w:jc w:val="both"/>
              <w:rPr>
                <w:rFonts w:hint="eastAsia" w:ascii="Times New Roman" w:hAnsi="Times New Roman" w:eastAsia="仿宋_GB2312" w:cs="Times New Roman"/>
                <w:color w:val="000000"/>
                <w:kern w:val="0"/>
                <w:sz w:val="30"/>
                <w:szCs w:val="21"/>
              </w:rPr>
            </w:pPr>
          </w:p>
        </w:tc>
        <w:tc>
          <w:tcPr>
            <w:tcW w:w="1155" w:type="dxa"/>
            <w:noWrap w:val="0"/>
            <w:tcMar>
              <w:top w:w="0" w:type="dxa"/>
              <w:left w:w="108" w:type="dxa"/>
              <w:bottom w:w="0" w:type="dxa"/>
              <w:right w:w="108" w:type="dxa"/>
            </w:tcMar>
            <w:vAlign w:val="center"/>
          </w:tcPr>
          <w:p w14:paraId="0D6FD8DB">
            <w:pPr>
              <w:widowControl/>
              <w:spacing w:line="588" w:lineRule="exact"/>
              <w:ind w:left="0" w:leftChars="0" w:firstLine="0" w:firstLineChars="0"/>
              <w:jc w:val="both"/>
              <w:rPr>
                <w:rFonts w:hint="eastAsia" w:ascii="Times New Roman" w:hAnsi="Times New Roman" w:eastAsia="仿宋_GB2312" w:cs="Times New Roman"/>
                <w:color w:val="000000"/>
                <w:kern w:val="0"/>
                <w:sz w:val="30"/>
                <w:szCs w:val="21"/>
              </w:rPr>
            </w:pPr>
          </w:p>
        </w:tc>
        <w:tc>
          <w:tcPr>
            <w:tcW w:w="1619" w:type="dxa"/>
            <w:noWrap w:val="0"/>
            <w:tcMar>
              <w:top w:w="0" w:type="dxa"/>
              <w:left w:w="108" w:type="dxa"/>
              <w:bottom w:w="0" w:type="dxa"/>
              <w:right w:w="108" w:type="dxa"/>
            </w:tcMar>
            <w:vAlign w:val="center"/>
          </w:tcPr>
          <w:p w14:paraId="1C217121">
            <w:pPr>
              <w:widowControl/>
              <w:spacing w:line="588" w:lineRule="exact"/>
              <w:ind w:left="0" w:leftChars="0" w:firstLine="0" w:firstLineChars="0"/>
              <w:jc w:val="both"/>
              <w:rPr>
                <w:rFonts w:hint="eastAsia" w:ascii="Times New Roman" w:hAnsi="Times New Roman" w:eastAsia="仿宋_GB2312" w:cs="Times New Roman"/>
                <w:color w:val="000000"/>
                <w:kern w:val="0"/>
                <w:sz w:val="30"/>
                <w:szCs w:val="21"/>
              </w:rPr>
            </w:pPr>
          </w:p>
        </w:tc>
        <w:tc>
          <w:tcPr>
            <w:tcW w:w="2337" w:type="dxa"/>
            <w:noWrap w:val="0"/>
            <w:tcMar>
              <w:top w:w="0" w:type="dxa"/>
              <w:left w:w="108" w:type="dxa"/>
              <w:bottom w:w="0" w:type="dxa"/>
              <w:right w:w="108" w:type="dxa"/>
            </w:tcMar>
            <w:vAlign w:val="center"/>
          </w:tcPr>
          <w:p w14:paraId="542232B7">
            <w:pPr>
              <w:widowControl/>
              <w:spacing w:line="588" w:lineRule="exact"/>
              <w:ind w:left="0" w:leftChars="0" w:firstLine="0" w:firstLineChars="0"/>
              <w:jc w:val="both"/>
              <w:rPr>
                <w:rFonts w:hint="eastAsia" w:ascii="Times New Roman" w:hAnsi="Times New Roman" w:eastAsia="仿宋_GB2312" w:cs="Times New Roman"/>
                <w:color w:val="000000"/>
                <w:kern w:val="0"/>
                <w:sz w:val="30"/>
                <w:szCs w:val="21"/>
              </w:rPr>
            </w:pPr>
          </w:p>
        </w:tc>
      </w:tr>
      <w:tr w14:paraId="73C7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604" w:type="dxa"/>
            <w:noWrap w:val="0"/>
            <w:vAlign w:val="center"/>
          </w:tcPr>
          <w:p w14:paraId="76AFF872">
            <w:pPr>
              <w:widowControl/>
              <w:spacing w:line="588" w:lineRule="exact"/>
              <w:ind w:firstLine="600" w:firstLineChars="200"/>
              <w:jc w:val="center"/>
              <w:rPr>
                <w:rFonts w:hint="eastAsia" w:ascii="Times New Roman" w:hAnsi="Times New Roman" w:eastAsia="仿宋_GB2312" w:cs="Times New Roman"/>
                <w:color w:val="000000"/>
                <w:kern w:val="0"/>
                <w:sz w:val="30"/>
                <w:szCs w:val="21"/>
              </w:rPr>
            </w:pPr>
            <w:r>
              <w:rPr>
                <w:rFonts w:hint="eastAsia" w:ascii="Times New Roman" w:hAnsi="Times New Roman" w:eastAsia="仿宋_GB2312" w:cs="Times New Roman"/>
                <w:color w:val="000000"/>
                <w:kern w:val="0"/>
                <w:sz w:val="30"/>
                <w:szCs w:val="21"/>
              </w:rPr>
              <w:t>2</w:t>
            </w:r>
          </w:p>
        </w:tc>
        <w:tc>
          <w:tcPr>
            <w:tcW w:w="601" w:type="dxa"/>
            <w:noWrap w:val="0"/>
            <w:vAlign w:val="center"/>
          </w:tcPr>
          <w:p w14:paraId="4CA35B38">
            <w:pPr>
              <w:widowControl/>
              <w:spacing w:line="588" w:lineRule="exact"/>
              <w:ind w:firstLine="600" w:firstLineChars="200"/>
              <w:jc w:val="center"/>
              <w:rPr>
                <w:rFonts w:hint="eastAsia" w:ascii="Times New Roman" w:hAnsi="Times New Roman" w:eastAsia="仿宋_GB2312" w:cs="Times New Roman"/>
                <w:color w:val="000000"/>
                <w:kern w:val="0"/>
                <w:sz w:val="30"/>
                <w:szCs w:val="21"/>
              </w:rPr>
            </w:pPr>
          </w:p>
        </w:tc>
        <w:tc>
          <w:tcPr>
            <w:tcW w:w="1055" w:type="dxa"/>
            <w:noWrap w:val="0"/>
            <w:tcMar>
              <w:top w:w="0" w:type="dxa"/>
              <w:left w:w="108" w:type="dxa"/>
              <w:bottom w:w="0" w:type="dxa"/>
              <w:right w:w="108" w:type="dxa"/>
            </w:tcMar>
            <w:vAlign w:val="center"/>
          </w:tcPr>
          <w:p w14:paraId="2C1CF90D">
            <w:pPr>
              <w:widowControl/>
              <w:spacing w:line="588" w:lineRule="exact"/>
              <w:ind w:left="0" w:leftChars="0" w:firstLine="0" w:firstLineChars="0"/>
              <w:jc w:val="center"/>
              <w:rPr>
                <w:rFonts w:hint="eastAsia" w:ascii="Times New Roman" w:hAnsi="Times New Roman" w:eastAsia="仿宋_GB2312" w:cs="Times New Roman"/>
                <w:color w:val="000000"/>
                <w:kern w:val="0"/>
                <w:sz w:val="30"/>
                <w:szCs w:val="21"/>
              </w:rPr>
            </w:pPr>
          </w:p>
        </w:tc>
        <w:tc>
          <w:tcPr>
            <w:tcW w:w="731" w:type="dxa"/>
            <w:noWrap w:val="0"/>
            <w:tcMar>
              <w:top w:w="0" w:type="dxa"/>
              <w:left w:w="108" w:type="dxa"/>
              <w:bottom w:w="0" w:type="dxa"/>
              <w:right w:w="108" w:type="dxa"/>
            </w:tcMar>
            <w:vAlign w:val="center"/>
          </w:tcPr>
          <w:p w14:paraId="105A7831">
            <w:pPr>
              <w:widowControl/>
              <w:spacing w:line="588" w:lineRule="exact"/>
              <w:ind w:left="0" w:leftChars="0" w:firstLine="300" w:firstLineChars="100"/>
              <w:jc w:val="both"/>
              <w:rPr>
                <w:rFonts w:hint="eastAsia" w:ascii="Times New Roman" w:hAnsi="Times New Roman" w:eastAsia="仿宋_GB2312" w:cs="Times New Roman"/>
                <w:color w:val="000000"/>
                <w:kern w:val="0"/>
                <w:sz w:val="30"/>
                <w:szCs w:val="21"/>
              </w:rPr>
            </w:pPr>
          </w:p>
        </w:tc>
        <w:tc>
          <w:tcPr>
            <w:tcW w:w="1155" w:type="dxa"/>
            <w:noWrap w:val="0"/>
            <w:tcMar>
              <w:top w:w="0" w:type="dxa"/>
              <w:left w:w="108" w:type="dxa"/>
              <w:bottom w:w="0" w:type="dxa"/>
              <w:right w:w="108" w:type="dxa"/>
            </w:tcMar>
            <w:vAlign w:val="center"/>
          </w:tcPr>
          <w:p w14:paraId="10C89382">
            <w:pPr>
              <w:widowControl/>
              <w:spacing w:line="588" w:lineRule="exact"/>
              <w:ind w:left="0" w:leftChars="0" w:firstLine="0" w:firstLineChars="0"/>
              <w:jc w:val="both"/>
              <w:rPr>
                <w:rFonts w:hint="eastAsia" w:ascii="Times New Roman" w:hAnsi="Times New Roman" w:eastAsia="仿宋_GB2312" w:cs="Times New Roman"/>
                <w:color w:val="000000"/>
                <w:kern w:val="0"/>
                <w:sz w:val="30"/>
                <w:szCs w:val="21"/>
              </w:rPr>
            </w:pPr>
          </w:p>
        </w:tc>
        <w:tc>
          <w:tcPr>
            <w:tcW w:w="1619" w:type="dxa"/>
            <w:noWrap w:val="0"/>
            <w:tcMar>
              <w:top w:w="0" w:type="dxa"/>
              <w:left w:w="108" w:type="dxa"/>
              <w:bottom w:w="0" w:type="dxa"/>
              <w:right w:w="108" w:type="dxa"/>
            </w:tcMar>
            <w:vAlign w:val="center"/>
          </w:tcPr>
          <w:p w14:paraId="1EDE3103">
            <w:pPr>
              <w:widowControl/>
              <w:spacing w:line="588" w:lineRule="exact"/>
              <w:ind w:left="0" w:leftChars="0" w:firstLine="0" w:firstLineChars="0"/>
              <w:jc w:val="both"/>
              <w:rPr>
                <w:rFonts w:hint="eastAsia" w:ascii="Times New Roman" w:hAnsi="Times New Roman" w:eastAsia="仿宋_GB2312" w:cs="Times New Roman"/>
                <w:color w:val="000000"/>
                <w:kern w:val="0"/>
                <w:sz w:val="30"/>
                <w:szCs w:val="21"/>
              </w:rPr>
            </w:pPr>
          </w:p>
        </w:tc>
        <w:tc>
          <w:tcPr>
            <w:tcW w:w="2337" w:type="dxa"/>
            <w:noWrap w:val="0"/>
            <w:tcMar>
              <w:top w:w="0" w:type="dxa"/>
              <w:left w:w="108" w:type="dxa"/>
              <w:bottom w:w="0" w:type="dxa"/>
              <w:right w:w="108" w:type="dxa"/>
            </w:tcMar>
            <w:vAlign w:val="center"/>
          </w:tcPr>
          <w:p w14:paraId="52B99636">
            <w:pPr>
              <w:widowControl/>
              <w:spacing w:line="588" w:lineRule="exact"/>
              <w:ind w:left="0" w:leftChars="0" w:firstLine="0" w:firstLineChars="0"/>
              <w:jc w:val="both"/>
              <w:rPr>
                <w:rFonts w:hint="eastAsia" w:ascii="Times New Roman" w:hAnsi="Times New Roman" w:eastAsia="仿宋_GB2312" w:cs="Times New Roman"/>
                <w:color w:val="000000"/>
                <w:kern w:val="0"/>
                <w:sz w:val="30"/>
                <w:szCs w:val="21"/>
              </w:rPr>
            </w:pPr>
          </w:p>
        </w:tc>
      </w:tr>
      <w:tr w14:paraId="1405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604" w:type="dxa"/>
            <w:noWrap w:val="0"/>
            <w:vAlign w:val="center"/>
          </w:tcPr>
          <w:p w14:paraId="3E78C54B">
            <w:pPr>
              <w:widowControl/>
              <w:spacing w:line="588" w:lineRule="exact"/>
              <w:ind w:firstLine="600" w:firstLineChars="200"/>
              <w:jc w:val="center"/>
              <w:rPr>
                <w:rFonts w:hint="eastAsia" w:ascii="Times New Roman" w:hAnsi="Times New Roman" w:eastAsia="仿宋_GB2312" w:cs="Times New Roman"/>
                <w:color w:val="000000"/>
                <w:kern w:val="0"/>
                <w:sz w:val="30"/>
                <w:szCs w:val="21"/>
              </w:rPr>
            </w:pPr>
            <w:r>
              <w:rPr>
                <w:rFonts w:hint="eastAsia" w:ascii="Times New Roman" w:hAnsi="Times New Roman" w:eastAsia="仿宋_GB2312" w:cs="Times New Roman"/>
                <w:color w:val="000000"/>
                <w:kern w:val="0"/>
                <w:sz w:val="30"/>
                <w:szCs w:val="21"/>
              </w:rPr>
              <w:t>3</w:t>
            </w:r>
          </w:p>
        </w:tc>
        <w:tc>
          <w:tcPr>
            <w:tcW w:w="601" w:type="dxa"/>
            <w:noWrap w:val="0"/>
            <w:vAlign w:val="center"/>
          </w:tcPr>
          <w:p w14:paraId="4548CEA3">
            <w:pPr>
              <w:widowControl/>
              <w:spacing w:line="588" w:lineRule="exact"/>
              <w:ind w:firstLine="600" w:firstLineChars="200"/>
              <w:jc w:val="center"/>
              <w:rPr>
                <w:rFonts w:hint="eastAsia" w:ascii="Times New Roman" w:hAnsi="Times New Roman" w:eastAsia="仿宋_GB2312" w:cs="Times New Roman"/>
                <w:color w:val="000000"/>
                <w:kern w:val="0"/>
                <w:sz w:val="30"/>
                <w:szCs w:val="21"/>
              </w:rPr>
            </w:pPr>
          </w:p>
        </w:tc>
        <w:tc>
          <w:tcPr>
            <w:tcW w:w="1055" w:type="dxa"/>
            <w:noWrap w:val="0"/>
            <w:tcMar>
              <w:top w:w="0" w:type="dxa"/>
              <w:left w:w="108" w:type="dxa"/>
              <w:bottom w:w="0" w:type="dxa"/>
              <w:right w:w="108" w:type="dxa"/>
            </w:tcMar>
            <w:vAlign w:val="center"/>
          </w:tcPr>
          <w:p w14:paraId="2FA4E48C">
            <w:pPr>
              <w:widowControl/>
              <w:spacing w:line="588" w:lineRule="exact"/>
              <w:ind w:left="0" w:leftChars="0" w:firstLine="0" w:firstLineChars="0"/>
              <w:jc w:val="center"/>
              <w:rPr>
                <w:rFonts w:hint="eastAsia" w:ascii="Times New Roman" w:hAnsi="Times New Roman" w:eastAsia="仿宋_GB2312" w:cs="Times New Roman"/>
                <w:color w:val="000000"/>
                <w:kern w:val="0"/>
                <w:sz w:val="30"/>
                <w:szCs w:val="21"/>
              </w:rPr>
            </w:pPr>
          </w:p>
        </w:tc>
        <w:tc>
          <w:tcPr>
            <w:tcW w:w="731" w:type="dxa"/>
            <w:noWrap w:val="0"/>
            <w:tcMar>
              <w:top w:w="0" w:type="dxa"/>
              <w:left w:w="108" w:type="dxa"/>
              <w:bottom w:w="0" w:type="dxa"/>
              <w:right w:w="108" w:type="dxa"/>
            </w:tcMar>
            <w:vAlign w:val="center"/>
          </w:tcPr>
          <w:p w14:paraId="05079A0D">
            <w:pPr>
              <w:widowControl/>
              <w:spacing w:line="588" w:lineRule="exact"/>
              <w:ind w:left="0" w:leftChars="0" w:firstLine="300" w:firstLineChars="100"/>
              <w:jc w:val="both"/>
              <w:rPr>
                <w:rFonts w:hint="eastAsia" w:ascii="Times New Roman" w:hAnsi="Times New Roman" w:eastAsia="仿宋_GB2312" w:cs="Times New Roman"/>
                <w:color w:val="000000"/>
                <w:kern w:val="0"/>
                <w:sz w:val="30"/>
                <w:szCs w:val="21"/>
              </w:rPr>
            </w:pPr>
          </w:p>
        </w:tc>
        <w:tc>
          <w:tcPr>
            <w:tcW w:w="1155" w:type="dxa"/>
            <w:noWrap w:val="0"/>
            <w:tcMar>
              <w:top w:w="0" w:type="dxa"/>
              <w:left w:w="108" w:type="dxa"/>
              <w:bottom w:w="0" w:type="dxa"/>
              <w:right w:w="108" w:type="dxa"/>
            </w:tcMar>
            <w:vAlign w:val="center"/>
          </w:tcPr>
          <w:p w14:paraId="697FBBDC">
            <w:pPr>
              <w:widowControl/>
              <w:spacing w:line="588" w:lineRule="exact"/>
              <w:ind w:left="0" w:leftChars="0" w:firstLine="0" w:firstLineChars="0"/>
              <w:jc w:val="both"/>
              <w:rPr>
                <w:rFonts w:hint="eastAsia" w:ascii="Times New Roman" w:hAnsi="Times New Roman" w:eastAsia="仿宋_GB2312" w:cs="Times New Roman"/>
                <w:color w:val="000000"/>
                <w:kern w:val="0"/>
                <w:sz w:val="30"/>
                <w:szCs w:val="21"/>
              </w:rPr>
            </w:pPr>
          </w:p>
        </w:tc>
        <w:tc>
          <w:tcPr>
            <w:tcW w:w="1619" w:type="dxa"/>
            <w:noWrap w:val="0"/>
            <w:tcMar>
              <w:top w:w="0" w:type="dxa"/>
              <w:left w:w="108" w:type="dxa"/>
              <w:bottom w:w="0" w:type="dxa"/>
              <w:right w:w="108" w:type="dxa"/>
            </w:tcMar>
            <w:vAlign w:val="center"/>
          </w:tcPr>
          <w:p w14:paraId="1026E54A">
            <w:pPr>
              <w:widowControl/>
              <w:spacing w:line="588" w:lineRule="exact"/>
              <w:ind w:left="0" w:leftChars="0" w:firstLine="0" w:firstLineChars="0"/>
              <w:jc w:val="both"/>
              <w:rPr>
                <w:rFonts w:hint="eastAsia" w:ascii="Times New Roman" w:hAnsi="Times New Roman" w:eastAsia="仿宋_GB2312" w:cs="Times New Roman"/>
                <w:color w:val="000000"/>
                <w:kern w:val="0"/>
                <w:sz w:val="30"/>
                <w:szCs w:val="21"/>
              </w:rPr>
            </w:pPr>
          </w:p>
        </w:tc>
        <w:tc>
          <w:tcPr>
            <w:tcW w:w="2337" w:type="dxa"/>
            <w:noWrap w:val="0"/>
            <w:tcMar>
              <w:top w:w="0" w:type="dxa"/>
              <w:left w:w="108" w:type="dxa"/>
              <w:bottom w:w="0" w:type="dxa"/>
              <w:right w:w="108" w:type="dxa"/>
            </w:tcMar>
            <w:vAlign w:val="center"/>
          </w:tcPr>
          <w:p w14:paraId="12C47C0F">
            <w:pPr>
              <w:widowControl/>
              <w:spacing w:line="588" w:lineRule="exact"/>
              <w:ind w:left="0" w:leftChars="0" w:firstLine="0" w:firstLineChars="0"/>
              <w:jc w:val="both"/>
              <w:rPr>
                <w:rFonts w:hint="eastAsia" w:ascii="Times New Roman" w:hAnsi="Times New Roman" w:eastAsia="仿宋_GB2312" w:cs="Times New Roman"/>
                <w:color w:val="000000"/>
                <w:kern w:val="0"/>
                <w:sz w:val="30"/>
                <w:szCs w:val="21"/>
              </w:rPr>
            </w:pPr>
          </w:p>
        </w:tc>
      </w:tr>
      <w:tr w14:paraId="40C3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604" w:type="dxa"/>
            <w:noWrap w:val="0"/>
            <w:vAlign w:val="center"/>
          </w:tcPr>
          <w:p w14:paraId="3B11AC75">
            <w:pPr>
              <w:widowControl/>
              <w:spacing w:line="588" w:lineRule="exact"/>
              <w:ind w:firstLine="600" w:firstLineChars="200"/>
              <w:jc w:val="center"/>
              <w:rPr>
                <w:rFonts w:hint="eastAsia" w:ascii="Times New Roman" w:hAnsi="Times New Roman" w:eastAsia="仿宋_GB2312" w:cs="Times New Roman"/>
                <w:color w:val="000000"/>
                <w:kern w:val="0"/>
                <w:sz w:val="30"/>
                <w:szCs w:val="21"/>
              </w:rPr>
            </w:pPr>
            <w:r>
              <w:rPr>
                <w:rFonts w:hint="eastAsia" w:ascii="Times New Roman" w:hAnsi="Times New Roman" w:eastAsia="仿宋_GB2312" w:cs="Times New Roman"/>
                <w:color w:val="000000"/>
                <w:kern w:val="0"/>
                <w:sz w:val="30"/>
                <w:szCs w:val="21"/>
              </w:rPr>
              <w:t>…</w:t>
            </w:r>
          </w:p>
        </w:tc>
        <w:tc>
          <w:tcPr>
            <w:tcW w:w="601" w:type="dxa"/>
            <w:noWrap w:val="0"/>
            <w:vAlign w:val="center"/>
          </w:tcPr>
          <w:p w14:paraId="44AAFBBC">
            <w:pPr>
              <w:widowControl/>
              <w:spacing w:line="588" w:lineRule="exact"/>
              <w:ind w:firstLine="600" w:firstLineChars="200"/>
              <w:jc w:val="center"/>
              <w:rPr>
                <w:rFonts w:hint="eastAsia" w:ascii="Times New Roman" w:hAnsi="Times New Roman" w:eastAsia="仿宋_GB2312" w:cs="Times New Roman"/>
                <w:color w:val="000000"/>
                <w:kern w:val="0"/>
                <w:sz w:val="30"/>
                <w:szCs w:val="21"/>
              </w:rPr>
            </w:pPr>
          </w:p>
        </w:tc>
        <w:tc>
          <w:tcPr>
            <w:tcW w:w="1055" w:type="dxa"/>
            <w:noWrap w:val="0"/>
            <w:tcMar>
              <w:top w:w="0" w:type="dxa"/>
              <w:left w:w="108" w:type="dxa"/>
              <w:bottom w:w="0" w:type="dxa"/>
              <w:right w:w="108" w:type="dxa"/>
            </w:tcMar>
            <w:vAlign w:val="center"/>
          </w:tcPr>
          <w:p w14:paraId="1085CCDE">
            <w:pPr>
              <w:widowControl/>
              <w:spacing w:line="588" w:lineRule="exact"/>
              <w:ind w:left="0" w:leftChars="0" w:firstLine="0" w:firstLineChars="0"/>
              <w:jc w:val="center"/>
              <w:rPr>
                <w:rFonts w:hint="eastAsia" w:ascii="Times New Roman" w:hAnsi="Times New Roman" w:eastAsia="仿宋_GB2312" w:cs="Times New Roman"/>
                <w:color w:val="000000"/>
                <w:kern w:val="0"/>
                <w:sz w:val="30"/>
                <w:szCs w:val="21"/>
              </w:rPr>
            </w:pPr>
          </w:p>
        </w:tc>
        <w:tc>
          <w:tcPr>
            <w:tcW w:w="731" w:type="dxa"/>
            <w:noWrap w:val="0"/>
            <w:tcMar>
              <w:top w:w="0" w:type="dxa"/>
              <w:left w:w="108" w:type="dxa"/>
              <w:bottom w:w="0" w:type="dxa"/>
              <w:right w:w="108" w:type="dxa"/>
            </w:tcMar>
            <w:vAlign w:val="center"/>
          </w:tcPr>
          <w:p w14:paraId="6E2AF8C7">
            <w:pPr>
              <w:widowControl/>
              <w:spacing w:line="588" w:lineRule="exact"/>
              <w:ind w:left="0" w:leftChars="0" w:firstLine="300" w:firstLineChars="100"/>
              <w:jc w:val="both"/>
              <w:rPr>
                <w:rFonts w:hint="eastAsia" w:ascii="Times New Roman" w:hAnsi="Times New Roman" w:eastAsia="仿宋_GB2312" w:cs="Times New Roman"/>
                <w:color w:val="000000"/>
                <w:kern w:val="0"/>
                <w:sz w:val="30"/>
                <w:szCs w:val="21"/>
              </w:rPr>
            </w:pPr>
          </w:p>
        </w:tc>
        <w:tc>
          <w:tcPr>
            <w:tcW w:w="1155" w:type="dxa"/>
            <w:noWrap w:val="0"/>
            <w:tcMar>
              <w:top w:w="0" w:type="dxa"/>
              <w:left w:w="108" w:type="dxa"/>
              <w:bottom w:w="0" w:type="dxa"/>
              <w:right w:w="108" w:type="dxa"/>
            </w:tcMar>
            <w:vAlign w:val="center"/>
          </w:tcPr>
          <w:p w14:paraId="171B0EBD">
            <w:pPr>
              <w:widowControl/>
              <w:spacing w:line="588" w:lineRule="exact"/>
              <w:ind w:left="0" w:leftChars="0" w:firstLine="0" w:firstLineChars="0"/>
              <w:jc w:val="both"/>
              <w:rPr>
                <w:rFonts w:hint="eastAsia" w:ascii="Times New Roman" w:hAnsi="Times New Roman" w:eastAsia="仿宋_GB2312" w:cs="Times New Roman"/>
                <w:color w:val="000000"/>
                <w:kern w:val="0"/>
                <w:sz w:val="30"/>
                <w:szCs w:val="21"/>
              </w:rPr>
            </w:pPr>
          </w:p>
        </w:tc>
        <w:tc>
          <w:tcPr>
            <w:tcW w:w="1619" w:type="dxa"/>
            <w:noWrap w:val="0"/>
            <w:tcMar>
              <w:top w:w="0" w:type="dxa"/>
              <w:left w:w="108" w:type="dxa"/>
              <w:bottom w:w="0" w:type="dxa"/>
              <w:right w:w="108" w:type="dxa"/>
            </w:tcMar>
            <w:vAlign w:val="center"/>
          </w:tcPr>
          <w:p w14:paraId="10989CE0">
            <w:pPr>
              <w:widowControl/>
              <w:spacing w:line="588" w:lineRule="exact"/>
              <w:ind w:left="0" w:leftChars="0" w:firstLine="0" w:firstLineChars="0"/>
              <w:jc w:val="both"/>
              <w:rPr>
                <w:rFonts w:hint="eastAsia" w:ascii="Times New Roman" w:hAnsi="Times New Roman" w:eastAsia="仿宋_GB2312" w:cs="Times New Roman"/>
                <w:color w:val="000000"/>
                <w:kern w:val="0"/>
                <w:sz w:val="30"/>
                <w:szCs w:val="21"/>
              </w:rPr>
            </w:pPr>
          </w:p>
        </w:tc>
        <w:tc>
          <w:tcPr>
            <w:tcW w:w="2337" w:type="dxa"/>
            <w:noWrap w:val="0"/>
            <w:tcMar>
              <w:top w:w="0" w:type="dxa"/>
              <w:left w:w="108" w:type="dxa"/>
              <w:bottom w:w="0" w:type="dxa"/>
              <w:right w:w="108" w:type="dxa"/>
            </w:tcMar>
            <w:vAlign w:val="center"/>
          </w:tcPr>
          <w:p w14:paraId="1AA99550">
            <w:pPr>
              <w:widowControl/>
              <w:spacing w:line="588" w:lineRule="exact"/>
              <w:ind w:left="0" w:leftChars="0" w:firstLine="0" w:firstLineChars="0"/>
              <w:jc w:val="both"/>
              <w:rPr>
                <w:rFonts w:hint="eastAsia" w:ascii="Times New Roman" w:hAnsi="Times New Roman" w:eastAsia="仿宋_GB2312" w:cs="Times New Roman"/>
                <w:color w:val="000000"/>
                <w:kern w:val="0"/>
                <w:sz w:val="30"/>
                <w:szCs w:val="21"/>
              </w:rPr>
            </w:pPr>
          </w:p>
        </w:tc>
      </w:tr>
      <w:tr w14:paraId="2494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604" w:type="dxa"/>
            <w:noWrap w:val="0"/>
            <w:vAlign w:val="center"/>
          </w:tcPr>
          <w:p w14:paraId="26CE4A6C">
            <w:pPr>
              <w:widowControl/>
              <w:spacing w:line="588" w:lineRule="exact"/>
              <w:ind w:firstLine="600" w:firstLineChars="200"/>
              <w:jc w:val="center"/>
              <w:rPr>
                <w:rFonts w:hint="eastAsia" w:ascii="Times New Roman" w:hAnsi="Times New Roman" w:eastAsia="仿宋_GB2312" w:cs="Times New Roman"/>
                <w:i/>
                <w:color w:val="000000"/>
                <w:kern w:val="0"/>
                <w:sz w:val="30"/>
                <w:szCs w:val="21"/>
              </w:rPr>
            </w:pPr>
            <w:r>
              <w:rPr>
                <w:rFonts w:hint="eastAsia" w:ascii="Times New Roman" w:hAnsi="Times New Roman" w:eastAsia="仿宋_GB2312" w:cs="Times New Roman"/>
                <w:i/>
                <w:color w:val="000000"/>
                <w:kern w:val="0"/>
                <w:sz w:val="30"/>
                <w:szCs w:val="21"/>
              </w:rPr>
              <w:t>n</w:t>
            </w:r>
          </w:p>
        </w:tc>
        <w:tc>
          <w:tcPr>
            <w:tcW w:w="601" w:type="dxa"/>
            <w:noWrap w:val="0"/>
            <w:vAlign w:val="center"/>
          </w:tcPr>
          <w:p w14:paraId="300BEF94">
            <w:pPr>
              <w:widowControl/>
              <w:spacing w:line="588" w:lineRule="exact"/>
              <w:ind w:firstLine="600" w:firstLineChars="200"/>
              <w:jc w:val="center"/>
              <w:rPr>
                <w:rFonts w:hint="eastAsia" w:ascii="Times New Roman" w:hAnsi="Times New Roman" w:eastAsia="仿宋_GB2312" w:cs="Times New Roman"/>
                <w:color w:val="000000"/>
                <w:kern w:val="0"/>
                <w:sz w:val="30"/>
                <w:szCs w:val="21"/>
              </w:rPr>
            </w:pPr>
          </w:p>
        </w:tc>
        <w:tc>
          <w:tcPr>
            <w:tcW w:w="1055" w:type="dxa"/>
            <w:noWrap w:val="0"/>
            <w:tcMar>
              <w:top w:w="0" w:type="dxa"/>
              <w:left w:w="108" w:type="dxa"/>
              <w:bottom w:w="0" w:type="dxa"/>
              <w:right w:w="108" w:type="dxa"/>
            </w:tcMar>
            <w:vAlign w:val="center"/>
          </w:tcPr>
          <w:p w14:paraId="3588DFB8">
            <w:pPr>
              <w:widowControl/>
              <w:spacing w:line="588" w:lineRule="exact"/>
              <w:ind w:left="0" w:leftChars="0" w:firstLine="0" w:firstLineChars="0"/>
              <w:jc w:val="center"/>
              <w:rPr>
                <w:rFonts w:hint="eastAsia" w:ascii="Times New Roman" w:hAnsi="Times New Roman" w:eastAsia="仿宋_GB2312" w:cs="Times New Roman"/>
                <w:color w:val="000000"/>
                <w:kern w:val="0"/>
                <w:sz w:val="30"/>
                <w:szCs w:val="21"/>
              </w:rPr>
            </w:pPr>
          </w:p>
        </w:tc>
        <w:tc>
          <w:tcPr>
            <w:tcW w:w="731" w:type="dxa"/>
            <w:noWrap w:val="0"/>
            <w:tcMar>
              <w:top w:w="0" w:type="dxa"/>
              <w:left w:w="108" w:type="dxa"/>
              <w:bottom w:w="0" w:type="dxa"/>
              <w:right w:w="108" w:type="dxa"/>
            </w:tcMar>
            <w:vAlign w:val="center"/>
          </w:tcPr>
          <w:p w14:paraId="349C26F9">
            <w:pPr>
              <w:widowControl/>
              <w:spacing w:line="588" w:lineRule="exact"/>
              <w:ind w:left="0" w:leftChars="0" w:firstLine="300" w:firstLineChars="100"/>
              <w:jc w:val="both"/>
              <w:rPr>
                <w:rFonts w:hint="eastAsia" w:ascii="Times New Roman" w:hAnsi="Times New Roman" w:eastAsia="仿宋_GB2312" w:cs="Times New Roman"/>
                <w:color w:val="000000"/>
                <w:kern w:val="0"/>
                <w:sz w:val="30"/>
                <w:szCs w:val="21"/>
              </w:rPr>
            </w:pPr>
          </w:p>
        </w:tc>
        <w:tc>
          <w:tcPr>
            <w:tcW w:w="1155" w:type="dxa"/>
            <w:noWrap w:val="0"/>
            <w:tcMar>
              <w:top w:w="0" w:type="dxa"/>
              <w:left w:w="108" w:type="dxa"/>
              <w:bottom w:w="0" w:type="dxa"/>
              <w:right w:w="108" w:type="dxa"/>
            </w:tcMar>
            <w:vAlign w:val="center"/>
          </w:tcPr>
          <w:p w14:paraId="489C2BD4">
            <w:pPr>
              <w:widowControl/>
              <w:spacing w:line="588" w:lineRule="exact"/>
              <w:ind w:left="0" w:leftChars="0" w:firstLine="0" w:firstLineChars="0"/>
              <w:jc w:val="both"/>
              <w:rPr>
                <w:rFonts w:hint="eastAsia" w:ascii="Times New Roman" w:hAnsi="Times New Roman" w:eastAsia="仿宋_GB2312" w:cs="Times New Roman"/>
                <w:color w:val="000000"/>
                <w:kern w:val="0"/>
                <w:sz w:val="30"/>
                <w:szCs w:val="21"/>
              </w:rPr>
            </w:pPr>
          </w:p>
        </w:tc>
        <w:tc>
          <w:tcPr>
            <w:tcW w:w="1619" w:type="dxa"/>
            <w:noWrap w:val="0"/>
            <w:tcMar>
              <w:top w:w="0" w:type="dxa"/>
              <w:left w:w="108" w:type="dxa"/>
              <w:bottom w:w="0" w:type="dxa"/>
              <w:right w:w="108" w:type="dxa"/>
            </w:tcMar>
            <w:vAlign w:val="center"/>
          </w:tcPr>
          <w:p w14:paraId="028E33E5">
            <w:pPr>
              <w:widowControl/>
              <w:spacing w:line="588" w:lineRule="exact"/>
              <w:ind w:left="0" w:leftChars="0" w:firstLine="0" w:firstLineChars="0"/>
              <w:jc w:val="both"/>
              <w:rPr>
                <w:rFonts w:hint="eastAsia" w:ascii="Times New Roman" w:hAnsi="Times New Roman" w:eastAsia="仿宋_GB2312" w:cs="Times New Roman"/>
                <w:color w:val="000000"/>
                <w:kern w:val="0"/>
                <w:sz w:val="30"/>
                <w:szCs w:val="21"/>
              </w:rPr>
            </w:pPr>
          </w:p>
        </w:tc>
        <w:tc>
          <w:tcPr>
            <w:tcW w:w="2337" w:type="dxa"/>
            <w:noWrap w:val="0"/>
            <w:tcMar>
              <w:top w:w="0" w:type="dxa"/>
              <w:left w:w="108" w:type="dxa"/>
              <w:bottom w:w="0" w:type="dxa"/>
              <w:right w:w="108" w:type="dxa"/>
            </w:tcMar>
            <w:vAlign w:val="center"/>
          </w:tcPr>
          <w:p w14:paraId="6C4A0F67">
            <w:pPr>
              <w:widowControl/>
              <w:spacing w:line="588" w:lineRule="exact"/>
              <w:ind w:left="0" w:leftChars="0" w:firstLine="0" w:firstLineChars="0"/>
              <w:jc w:val="both"/>
              <w:rPr>
                <w:rFonts w:hint="eastAsia" w:ascii="Times New Roman" w:hAnsi="Times New Roman" w:eastAsia="仿宋_GB2312" w:cs="Times New Roman"/>
                <w:color w:val="000000"/>
                <w:kern w:val="0"/>
                <w:sz w:val="30"/>
                <w:szCs w:val="21"/>
              </w:rPr>
            </w:pPr>
          </w:p>
        </w:tc>
      </w:tr>
      <w:tr w14:paraId="388B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604" w:type="dxa"/>
            <w:noWrap w:val="0"/>
            <w:vAlign w:val="center"/>
          </w:tcPr>
          <w:p w14:paraId="4CDF24C2">
            <w:pPr>
              <w:widowControl/>
              <w:spacing w:line="588" w:lineRule="exact"/>
              <w:ind w:left="0" w:leftChars="0" w:firstLine="0" w:firstLineChars="0"/>
              <w:jc w:val="center"/>
              <w:rPr>
                <w:rFonts w:hint="eastAsia" w:ascii="Times New Roman" w:hAnsi="Times New Roman" w:eastAsia="仿宋_GB2312" w:cs="Times New Roman"/>
                <w:color w:val="000000"/>
                <w:kern w:val="0"/>
                <w:sz w:val="30"/>
                <w:szCs w:val="21"/>
              </w:rPr>
            </w:pPr>
            <w:r>
              <w:rPr>
                <w:rFonts w:hint="eastAsia" w:ascii="方正仿宋_GBK" w:hAnsi="方正仿宋_GBK" w:eastAsia="方正仿宋_GBK" w:cs="方正仿宋_GBK"/>
                <w:color w:val="000000"/>
                <w:kern w:val="0"/>
                <w:sz w:val="21"/>
                <w:szCs w:val="21"/>
              </w:rPr>
              <w:t>合计</w:t>
            </w:r>
          </w:p>
        </w:tc>
        <w:tc>
          <w:tcPr>
            <w:tcW w:w="601" w:type="dxa"/>
            <w:noWrap w:val="0"/>
            <w:vAlign w:val="center"/>
          </w:tcPr>
          <w:p w14:paraId="6FCB261D">
            <w:pPr>
              <w:widowControl/>
              <w:spacing w:line="588" w:lineRule="exact"/>
              <w:ind w:firstLine="600" w:firstLineChars="200"/>
              <w:jc w:val="center"/>
              <w:rPr>
                <w:rFonts w:hint="eastAsia" w:ascii="Times New Roman" w:hAnsi="Times New Roman" w:eastAsia="仿宋_GB2312" w:cs="Times New Roman"/>
                <w:color w:val="000000"/>
                <w:kern w:val="0"/>
                <w:sz w:val="30"/>
                <w:szCs w:val="21"/>
              </w:rPr>
            </w:pPr>
          </w:p>
        </w:tc>
        <w:tc>
          <w:tcPr>
            <w:tcW w:w="1055" w:type="dxa"/>
            <w:noWrap w:val="0"/>
            <w:tcMar>
              <w:top w:w="0" w:type="dxa"/>
              <w:left w:w="108" w:type="dxa"/>
              <w:bottom w:w="0" w:type="dxa"/>
              <w:right w:w="108" w:type="dxa"/>
            </w:tcMar>
            <w:vAlign w:val="center"/>
          </w:tcPr>
          <w:p w14:paraId="11CFEE6A">
            <w:pPr>
              <w:widowControl/>
              <w:spacing w:line="588" w:lineRule="exact"/>
              <w:ind w:left="0" w:leftChars="0" w:firstLine="0" w:firstLineChars="0"/>
              <w:jc w:val="center"/>
              <w:rPr>
                <w:rFonts w:hint="eastAsia" w:ascii="Times New Roman" w:hAnsi="Times New Roman" w:eastAsia="仿宋_GB2312" w:cs="Times New Roman"/>
                <w:color w:val="000000"/>
                <w:kern w:val="0"/>
                <w:sz w:val="30"/>
                <w:szCs w:val="21"/>
              </w:rPr>
            </w:pPr>
          </w:p>
        </w:tc>
        <w:tc>
          <w:tcPr>
            <w:tcW w:w="731" w:type="dxa"/>
            <w:noWrap w:val="0"/>
            <w:tcMar>
              <w:top w:w="0" w:type="dxa"/>
              <w:left w:w="108" w:type="dxa"/>
              <w:bottom w:w="0" w:type="dxa"/>
              <w:right w:w="108" w:type="dxa"/>
            </w:tcMar>
            <w:vAlign w:val="center"/>
          </w:tcPr>
          <w:p w14:paraId="1613B4AA">
            <w:pPr>
              <w:widowControl/>
              <w:spacing w:line="588" w:lineRule="exact"/>
              <w:ind w:left="0" w:leftChars="0" w:firstLine="300" w:firstLineChars="100"/>
              <w:jc w:val="both"/>
              <w:rPr>
                <w:rFonts w:hint="eastAsia" w:ascii="Times New Roman" w:hAnsi="Times New Roman" w:eastAsia="仿宋_GB2312" w:cs="Times New Roman"/>
                <w:color w:val="000000"/>
                <w:kern w:val="0"/>
                <w:sz w:val="30"/>
                <w:szCs w:val="21"/>
              </w:rPr>
            </w:pPr>
          </w:p>
        </w:tc>
        <w:tc>
          <w:tcPr>
            <w:tcW w:w="1155" w:type="dxa"/>
            <w:noWrap w:val="0"/>
            <w:tcMar>
              <w:top w:w="0" w:type="dxa"/>
              <w:left w:w="108" w:type="dxa"/>
              <w:bottom w:w="0" w:type="dxa"/>
              <w:right w:w="108" w:type="dxa"/>
            </w:tcMar>
            <w:vAlign w:val="center"/>
          </w:tcPr>
          <w:p w14:paraId="50CEC428">
            <w:pPr>
              <w:widowControl/>
              <w:spacing w:line="588" w:lineRule="exact"/>
              <w:ind w:left="0" w:leftChars="0" w:firstLine="0" w:firstLineChars="0"/>
              <w:jc w:val="both"/>
              <w:rPr>
                <w:rFonts w:hint="eastAsia" w:ascii="Times New Roman" w:hAnsi="Times New Roman" w:eastAsia="仿宋_GB2312" w:cs="Times New Roman"/>
                <w:color w:val="000000"/>
                <w:kern w:val="0"/>
                <w:sz w:val="30"/>
                <w:szCs w:val="21"/>
              </w:rPr>
            </w:pPr>
          </w:p>
        </w:tc>
        <w:tc>
          <w:tcPr>
            <w:tcW w:w="1619" w:type="dxa"/>
            <w:noWrap w:val="0"/>
            <w:tcMar>
              <w:top w:w="0" w:type="dxa"/>
              <w:left w:w="108" w:type="dxa"/>
              <w:bottom w:w="0" w:type="dxa"/>
              <w:right w:w="108" w:type="dxa"/>
            </w:tcMar>
            <w:vAlign w:val="center"/>
          </w:tcPr>
          <w:p w14:paraId="55BFD9EE">
            <w:pPr>
              <w:widowControl/>
              <w:spacing w:line="588" w:lineRule="exact"/>
              <w:ind w:left="0" w:leftChars="0" w:firstLine="0" w:firstLineChars="0"/>
              <w:jc w:val="both"/>
              <w:rPr>
                <w:rFonts w:hint="eastAsia" w:ascii="Times New Roman" w:hAnsi="Times New Roman" w:eastAsia="仿宋_GB2312" w:cs="Times New Roman"/>
                <w:color w:val="000000"/>
                <w:kern w:val="0"/>
                <w:sz w:val="30"/>
                <w:szCs w:val="21"/>
              </w:rPr>
            </w:pPr>
          </w:p>
        </w:tc>
        <w:tc>
          <w:tcPr>
            <w:tcW w:w="2337" w:type="dxa"/>
            <w:noWrap w:val="0"/>
            <w:tcMar>
              <w:top w:w="0" w:type="dxa"/>
              <w:left w:w="108" w:type="dxa"/>
              <w:bottom w:w="0" w:type="dxa"/>
              <w:right w:w="108" w:type="dxa"/>
            </w:tcMar>
            <w:vAlign w:val="center"/>
          </w:tcPr>
          <w:p w14:paraId="35AE2801">
            <w:pPr>
              <w:widowControl/>
              <w:spacing w:line="588" w:lineRule="exact"/>
              <w:ind w:left="0" w:leftChars="0" w:firstLine="0" w:firstLineChars="0"/>
              <w:jc w:val="both"/>
              <w:rPr>
                <w:rFonts w:hint="eastAsia" w:ascii="Times New Roman" w:hAnsi="Times New Roman" w:eastAsia="仿宋_GB2312" w:cs="Times New Roman"/>
                <w:color w:val="000000"/>
                <w:kern w:val="0"/>
                <w:sz w:val="30"/>
                <w:szCs w:val="21"/>
              </w:rPr>
            </w:pPr>
          </w:p>
        </w:tc>
      </w:tr>
    </w:tbl>
    <w:p w14:paraId="6AE5E679">
      <w:pPr>
        <w:keepNext w:val="0"/>
        <w:keepLines w:val="0"/>
        <w:pageBreakBefore w:val="0"/>
        <w:widowControl w:val="0"/>
        <w:tabs>
          <w:tab w:val="left" w:pos="900"/>
          <w:tab w:val="left" w:pos="1080"/>
        </w:tabs>
        <w:kinsoku/>
        <w:wordWrap/>
        <w:overflowPunct/>
        <w:topLinePunct w:val="0"/>
        <w:autoSpaceDE/>
        <w:autoSpaceDN/>
        <w:bidi w:val="0"/>
        <w:adjustRightInd w:val="0"/>
        <w:snapToGrid w:val="0"/>
        <w:spacing w:line="240" w:lineRule="auto"/>
        <w:ind w:firstLine="482" w:firstLineChars="200"/>
        <w:textAlignment w:val="auto"/>
        <w:rPr>
          <w:rFonts w:hint="eastAsia" w:ascii="Times New Roman" w:hAnsi="Times New Roman" w:eastAsia="仿宋_GB2312" w:cs="Times New Roman"/>
          <w:b/>
          <w:color w:val="000000"/>
          <w:sz w:val="24"/>
          <w:szCs w:val="24"/>
        </w:rPr>
      </w:pPr>
      <w:r>
        <w:rPr>
          <w:rFonts w:hint="eastAsia" w:ascii="方正仿宋_GBK" w:hAnsi="方正仿宋_GBK" w:eastAsia="方正仿宋_GBK" w:cs="方正仿宋_GBK"/>
          <w:b/>
          <w:color w:val="000000"/>
          <w:sz w:val="24"/>
          <w:szCs w:val="24"/>
        </w:rPr>
        <w:t>填写说明</w:t>
      </w:r>
      <w:r>
        <w:rPr>
          <w:rFonts w:hint="eastAsia" w:ascii="Times New Roman" w:hAnsi="Times New Roman" w:eastAsia="仿宋_GB2312" w:cs="Times New Roman"/>
          <w:b/>
          <w:color w:val="000000"/>
          <w:sz w:val="24"/>
          <w:szCs w:val="24"/>
        </w:rPr>
        <w:t>：</w:t>
      </w:r>
    </w:p>
    <w:p w14:paraId="55E3400D">
      <w:pPr>
        <w:keepNext w:val="0"/>
        <w:keepLines w:val="0"/>
        <w:pageBreakBefore w:val="0"/>
        <w:widowControl w:val="0"/>
        <w:tabs>
          <w:tab w:val="left" w:pos="900"/>
          <w:tab w:val="left" w:pos="1080"/>
        </w:tabs>
        <w:kinsoku/>
        <w:wordWrap/>
        <w:overflowPunct/>
        <w:topLinePunct w:val="0"/>
        <w:autoSpaceDE/>
        <w:autoSpaceDN/>
        <w:bidi w:val="0"/>
        <w:adjustRightInd w:val="0"/>
        <w:snapToGrid w:val="0"/>
        <w:spacing w:line="240" w:lineRule="auto"/>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1．此表为</w:t>
      </w:r>
      <w:r>
        <w:rPr>
          <w:rFonts w:hint="default" w:ascii="Times New Roman" w:hAnsi="Times New Roman" w:eastAsia="方正仿宋_GBK" w:cs="Times New Roman"/>
          <w:color w:val="000000"/>
          <w:sz w:val="24"/>
          <w:szCs w:val="24"/>
          <w:lang w:eastAsia="zh-CN"/>
        </w:rPr>
        <w:t>企业技术中心</w:t>
      </w:r>
      <w:r>
        <w:rPr>
          <w:rFonts w:hint="default" w:ascii="Times New Roman" w:hAnsi="Times New Roman" w:eastAsia="方正仿宋_GBK" w:cs="Times New Roman"/>
          <w:color w:val="000000"/>
          <w:sz w:val="24"/>
          <w:szCs w:val="24"/>
        </w:rPr>
        <w:t>享受支持科技创新进口税收政策免税金额统计表，享受其他优惠政策进口产品免税额不在统计范围内。</w:t>
      </w:r>
    </w:p>
    <w:p w14:paraId="07009882">
      <w:pPr>
        <w:keepNext w:val="0"/>
        <w:keepLines w:val="0"/>
        <w:pageBreakBefore w:val="0"/>
        <w:widowControl w:val="0"/>
        <w:tabs>
          <w:tab w:val="left" w:pos="900"/>
          <w:tab w:val="left" w:pos="1080"/>
        </w:tabs>
        <w:kinsoku/>
        <w:wordWrap/>
        <w:overflowPunct/>
        <w:topLinePunct w:val="0"/>
        <w:autoSpaceDE/>
        <w:autoSpaceDN/>
        <w:bidi w:val="0"/>
        <w:adjustRightInd w:val="0"/>
        <w:snapToGrid w:val="0"/>
        <w:spacing w:line="240" w:lineRule="auto"/>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2．“年份”应填写报告年度和报告年度前一年度。</w:t>
      </w:r>
    </w:p>
    <w:p w14:paraId="526DD9DC">
      <w:pPr>
        <w:keepNext w:val="0"/>
        <w:keepLines w:val="0"/>
        <w:pageBreakBefore w:val="0"/>
        <w:widowControl w:val="0"/>
        <w:tabs>
          <w:tab w:val="left" w:pos="900"/>
          <w:tab w:val="left" w:pos="1080"/>
        </w:tabs>
        <w:kinsoku/>
        <w:wordWrap/>
        <w:overflowPunct/>
        <w:topLinePunct w:val="0"/>
        <w:autoSpaceDE/>
        <w:autoSpaceDN/>
        <w:bidi w:val="0"/>
        <w:adjustRightInd w:val="0"/>
        <w:snapToGrid w:val="0"/>
        <w:spacing w:line="240" w:lineRule="auto"/>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3．大型企业集团应将技术中心及其分支机构过去两年享受支持科技创新进口税收政策免税情况一并进行统计。</w:t>
      </w:r>
    </w:p>
    <w:p w14:paraId="6DA15AE3">
      <w:pPr>
        <w:tabs>
          <w:tab w:val="left" w:pos="900"/>
          <w:tab w:val="left" w:pos="1080"/>
        </w:tabs>
        <w:spacing w:line="588" w:lineRule="exact"/>
        <w:ind w:firstLine="475" w:firstLineChars="198"/>
        <w:rPr>
          <w:rFonts w:hint="eastAsia" w:ascii="Times New Roman" w:hAnsi="Times New Roman" w:eastAsia="仿宋_GB2312" w:cs="Times New Roman"/>
          <w:color w:val="000000"/>
          <w:sz w:val="24"/>
          <w:szCs w:val="24"/>
        </w:rPr>
      </w:pPr>
    </w:p>
    <w:p w14:paraId="15BC503E">
      <w:pPr>
        <w:tabs>
          <w:tab w:val="left" w:pos="900"/>
          <w:tab w:val="left" w:pos="1080"/>
        </w:tabs>
        <w:spacing w:line="588" w:lineRule="exact"/>
        <w:ind w:firstLine="475" w:firstLineChars="198"/>
        <w:rPr>
          <w:rFonts w:hint="eastAsia" w:ascii="Times New Roman" w:hAnsi="Times New Roman" w:eastAsia="仿宋_GB2312" w:cs="Times New Roman"/>
          <w:color w:val="000000"/>
          <w:sz w:val="24"/>
          <w:szCs w:val="24"/>
        </w:rPr>
      </w:pPr>
    </w:p>
    <w:p w14:paraId="616D4AE6">
      <w:pPr>
        <w:spacing w:line="560" w:lineRule="exact"/>
        <w:ind w:firstLine="3150" w:firstLineChars="105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填报日期：     年   月   日</w:t>
      </w:r>
    </w:p>
    <w:p w14:paraId="60675844">
      <w:pPr>
        <w:spacing w:line="560" w:lineRule="exact"/>
        <w:ind w:firstLine="4650" w:firstLineChars="155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（企业盖章）</w:t>
      </w:r>
    </w:p>
    <w:p w14:paraId="61EC59AF">
      <w:pPr>
        <w:pStyle w:val="2"/>
        <w:spacing w:before="120" w:after="120" w:line="560" w:lineRule="exact"/>
        <w:ind w:firstLine="596" w:firstLineChars="198"/>
        <w:rPr>
          <w:rFonts w:hint="eastAsia" w:ascii="Times New Roman" w:hAnsi="Times New Roman" w:eastAsia="仿宋_GB2312"/>
          <w:sz w:val="30"/>
          <w:szCs w:val="30"/>
        </w:rPr>
        <w:sectPr>
          <w:pgSz w:w="11906" w:h="16838"/>
          <w:pgMar w:top="1440" w:right="1800" w:bottom="1440" w:left="1800" w:header="851" w:footer="992" w:gutter="0"/>
          <w:pgNumType w:fmt="decimal"/>
          <w:cols w:space="720" w:num="1"/>
          <w:docGrid w:type="lines" w:linePitch="312" w:charSpace="0"/>
        </w:sectPr>
      </w:pPr>
    </w:p>
    <w:p w14:paraId="489DC5E5">
      <w:pPr>
        <w:spacing w:line="560" w:lineRule="exact"/>
        <w:ind w:left="0" w:leftChars="0" w:firstLine="0" w:firstLineChars="0"/>
        <w:outlineLvl w:val="0"/>
        <w:rPr>
          <w:rFonts w:hint="default" w:ascii="Times New Roman" w:hAnsi="Times New Roman" w:eastAsia="黑体" w:cs="Times New Roman"/>
          <w:sz w:val="30"/>
          <w:szCs w:val="30"/>
        </w:rPr>
      </w:pPr>
      <w:r>
        <w:rPr>
          <w:rFonts w:hint="eastAsia" w:ascii="方正黑体_GBK" w:hAnsi="方正黑体_GBK" w:eastAsia="方正黑体_GBK" w:cs="方正黑体_GBK"/>
          <w:sz w:val="30"/>
          <w:szCs w:val="30"/>
        </w:rPr>
        <w:t>附件</w:t>
      </w:r>
      <w:r>
        <w:rPr>
          <w:rFonts w:hint="default" w:ascii="Times New Roman" w:hAnsi="Times New Roman" w:eastAsia="方正黑体_GBK" w:cs="Times New Roman"/>
          <w:sz w:val="30"/>
          <w:szCs w:val="30"/>
          <w:lang w:val="en-US" w:eastAsia="zh"/>
        </w:rPr>
        <w:t>1-</w:t>
      </w:r>
      <w:r>
        <w:rPr>
          <w:rFonts w:hint="default" w:ascii="Times New Roman" w:hAnsi="Times New Roman" w:eastAsia="黑体" w:cs="Times New Roman"/>
          <w:sz w:val="30"/>
          <w:szCs w:val="30"/>
        </w:rPr>
        <w:t>5</w:t>
      </w:r>
    </w:p>
    <w:p w14:paraId="268B309B">
      <w:pPr>
        <w:spacing w:before="312" w:beforeLines="100" w:after="312" w:afterLines="100" w:line="560" w:lineRule="exact"/>
        <w:ind w:left="0" w:leftChars="0" w:firstLine="0" w:firstLineChars="0"/>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lang w:eastAsia="zh-CN"/>
        </w:rPr>
        <w:t>企业技术中心</w:t>
      </w:r>
      <w:r>
        <w:rPr>
          <w:rFonts w:hint="eastAsia" w:ascii="方正小标宋_GBK" w:hAnsi="方正小标宋_GBK" w:eastAsia="方正小标宋_GBK" w:cs="方正小标宋_GBK"/>
          <w:sz w:val="40"/>
          <w:szCs w:val="40"/>
        </w:rPr>
        <w:t>评价指标体系</w:t>
      </w:r>
    </w:p>
    <w:p w14:paraId="26B17388">
      <w:pPr>
        <w:spacing w:before="156" w:beforeLines="50" w:after="156" w:afterLines="50" w:line="560" w:lineRule="exact"/>
        <w:ind w:firstLine="600" w:firstLineChars="200"/>
        <w:outlineLvl w:val="1"/>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一、指标体系</w:t>
      </w:r>
    </w:p>
    <w:tbl>
      <w:tblPr>
        <w:tblStyle w:val="9"/>
        <w:tblW w:w="0" w:type="auto"/>
        <w:jc w:val="center"/>
        <w:tblLayout w:type="fixed"/>
        <w:tblCellMar>
          <w:top w:w="0" w:type="dxa"/>
          <w:left w:w="108" w:type="dxa"/>
          <w:bottom w:w="0" w:type="dxa"/>
          <w:right w:w="108" w:type="dxa"/>
        </w:tblCellMar>
      </w:tblPr>
      <w:tblGrid>
        <w:gridCol w:w="785"/>
        <w:gridCol w:w="824"/>
        <w:gridCol w:w="541"/>
        <w:gridCol w:w="3764"/>
        <w:gridCol w:w="828"/>
        <w:gridCol w:w="800"/>
      </w:tblGrid>
      <w:tr w14:paraId="2E95F1E2">
        <w:tblPrEx>
          <w:tblCellMar>
            <w:top w:w="0" w:type="dxa"/>
            <w:left w:w="108" w:type="dxa"/>
            <w:bottom w:w="0" w:type="dxa"/>
            <w:right w:w="108" w:type="dxa"/>
          </w:tblCellMar>
        </w:tblPrEx>
        <w:trPr>
          <w:trHeight w:val="1032"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14:paraId="687B74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宋体"/>
                <w:b/>
                <w:bCs/>
                <w:color w:val="000000"/>
                <w:kern w:val="0"/>
                <w:sz w:val="24"/>
                <w:szCs w:val="24"/>
              </w:rPr>
            </w:pPr>
            <w:r>
              <w:rPr>
                <w:rFonts w:hint="eastAsia" w:ascii="Times New Roman" w:hAnsi="Times New Roman" w:eastAsia="仿宋_GB2312" w:cs="宋体"/>
                <w:b/>
                <w:bCs/>
                <w:color w:val="000000"/>
                <w:kern w:val="0"/>
                <w:sz w:val="24"/>
                <w:szCs w:val="24"/>
              </w:rPr>
              <w:t>一级</w:t>
            </w:r>
          </w:p>
          <w:p w14:paraId="221085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宋体"/>
                <w:b/>
                <w:bCs/>
                <w:color w:val="000000"/>
                <w:kern w:val="0"/>
                <w:sz w:val="24"/>
                <w:szCs w:val="24"/>
              </w:rPr>
            </w:pPr>
            <w:r>
              <w:rPr>
                <w:rFonts w:hint="eastAsia" w:ascii="Times New Roman" w:hAnsi="Times New Roman" w:eastAsia="仿宋_GB2312" w:cs="宋体"/>
                <w:b/>
                <w:bCs/>
                <w:color w:val="000000"/>
                <w:kern w:val="0"/>
                <w:sz w:val="24"/>
                <w:szCs w:val="24"/>
              </w:rPr>
              <w:t>指标</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1AA0734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宋体"/>
                <w:b/>
                <w:bCs/>
                <w:color w:val="000000"/>
                <w:kern w:val="0"/>
                <w:sz w:val="24"/>
                <w:szCs w:val="24"/>
              </w:rPr>
            </w:pPr>
            <w:r>
              <w:rPr>
                <w:rFonts w:hint="eastAsia" w:ascii="Times New Roman" w:hAnsi="Times New Roman" w:eastAsia="仿宋_GB2312" w:cs="宋体"/>
                <w:b/>
                <w:bCs/>
                <w:color w:val="000000"/>
                <w:kern w:val="0"/>
                <w:sz w:val="24"/>
                <w:szCs w:val="24"/>
              </w:rPr>
              <w:t>二级</w:t>
            </w:r>
          </w:p>
          <w:p w14:paraId="794C22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宋体"/>
                <w:b/>
                <w:bCs/>
                <w:color w:val="000000"/>
                <w:kern w:val="0"/>
                <w:sz w:val="24"/>
                <w:szCs w:val="24"/>
              </w:rPr>
            </w:pPr>
            <w:r>
              <w:rPr>
                <w:rFonts w:hint="eastAsia" w:ascii="Times New Roman" w:hAnsi="Times New Roman" w:eastAsia="仿宋_GB2312" w:cs="宋体"/>
                <w:b/>
                <w:bCs/>
                <w:color w:val="000000"/>
                <w:kern w:val="0"/>
                <w:sz w:val="24"/>
                <w:szCs w:val="24"/>
              </w:rPr>
              <w:t>指标</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5C9A9B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宋体"/>
                <w:b/>
                <w:bCs/>
                <w:color w:val="000000"/>
                <w:kern w:val="0"/>
                <w:sz w:val="24"/>
                <w:szCs w:val="24"/>
              </w:rPr>
            </w:pPr>
            <w:r>
              <w:rPr>
                <w:rFonts w:hint="eastAsia" w:ascii="Times New Roman" w:hAnsi="Times New Roman" w:eastAsia="仿宋_GB2312" w:cs="宋体"/>
                <w:b/>
                <w:bCs/>
                <w:color w:val="000000"/>
                <w:kern w:val="0"/>
                <w:sz w:val="24"/>
                <w:szCs w:val="24"/>
              </w:rPr>
              <w:t>权重</w:t>
            </w:r>
          </w:p>
        </w:tc>
        <w:tc>
          <w:tcPr>
            <w:tcW w:w="3764" w:type="dxa"/>
            <w:tcBorders>
              <w:top w:val="single" w:color="auto" w:sz="4" w:space="0"/>
              <w:left w:val="single" w:color="auto" w:sz="4" w:space="0"/>
              <w:bottom w:val="single" w:color="auto" w:sz="4" w:space="0"/>
              <w:right w:val="single" w:color="auto" w:sz="4" w:space="0"/>
            </w:tcBorders>
            <w:noWrap w:val="0"/>
            <w:vAlign w:val="center"/>
          </w:tcPr>
          <w:p w14:paraId="3B68E6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宋体"/>
                <w:b/>
                <w:bCs/>
                <w:color w:val="000000"/>
                <w:kern w:val="0"/>
                <w:sz w:val="24"/>
                <w:szCs w:val="24"/>
              </w:rPr>
            </w:pPr>
            <w:r>
              <w:rPr>
                <w:rFonts w:hint="eastAsia" w:ascii="Times New Roman" w:hAnsi="Times New Roman" w:eastAsia="仿宋_GB2312" w:cs="宋体"/>
                <w:b/>
                <w:bCs/>
                <w:color w:val="000000"/>
                <w:kern w:val="0"/>
                <w:sz w:val="24"/>
                <w:szCs w:val="24"/>
              </w:rPr>
              <w:t>三级指标</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A7E4B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宋体"/>
                <w:b/>
                <w:bCs/>
                <w:color w:val="000000"/>
                <w:kern w:val="0"/>
                <w:sz w:val="24"/>
                <w:szCs w:val="24"/>
              </w:rPr>
            </w:pPr>
            <w:r>
              <w:rPr>
                <w:rFonts w:hint="eastAsia" w:ascii="Times New Roman" w:hAnsi="Times New Roman" w:eastAsia="仿宋_GB2312" w:cs="宋体"/>
                <w:b/>
                <w:bCs/>
                <w:color w:val="000000"/>
                <w:kern w:val="0"/>
                <w:sz w:val="24"/>
                <w:szCs w:val="24"/>
              </w:rPr>
              <w:t>单位</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54CF601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宋体"/>
                <w:b/>
                <w:bCs/>
                <w:color w:val="000000"/>
                <w:kern w:val="0"/>
                <w:sz w:val="24"/>
                <w:szCs w:val="24"/>
              </w:rPr>
            </w:pPr>
            <w:r>
              <w:rPr>
                <w:rFonts w:hint="eastAsia" w:ascii="Times New Roman" w:hAnsi="Times New Roman" w:eastAsia="仿宋_GB2312" w:cs="宋体"/>
                <w:b/>
                <w:bCs/>
                <w:color w:val="000000"/>
                <w:kern w:val="0"/>
                <w:sz w:val="24"/>
                <w:szCs w:val="24"/>
              </w:rPr>
              <w:t>权重</w:t>
            </w:r>
          </w:p>
        </w:tc>
      </w:tr>
      <w:tr w14:paraId="4E8D7621">
        <w:tblPrEx>
          <w:tblCellMar>
            <w:top w:w="0" w:type="dxa"/>
            <w:left w:w="108" w:type="dxa"/>
            <w:bottom w:w="0" w:type="dxa"/>
            <w:right w:w="108" w:type="dxa"/>
          </w:tblCellMar>
        </w:tblPrEx>
        <w:trPr>
          <w:trHeight w:val="348" w:hRule="atLeast"/>
          <w:jc w:val="center"/>
        </w:trPr>
        <w:tc>
          <w:tcPr>
            <w:tcW w:w="785" w:type="dxa"/>
            <w:vMerge w:val="restart"/>
            <w:tcBorders>
              <w:top w:val="nil"/>
              <w:left w:val="single" w:color="auto" w:sz="4" w:space="0"/>
              <w:bottom w:val="single" w:color="000000" w:sz="4" w:space="0"/>
              <w:right w:val="single" w:color="auto" w:sz="4" w:space="0"/>
            </w:tcBorders>
            <w:noWrap w:val="0"/>
            <w:vAlign w:val="center"/>
          </w:tcPr>
          <w:p w14:paraId="6522AFD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创新</w:t>
            </w:r>
          </w:p>
          <w:p w14:paraId="1E21BE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投入</w:t>
            </w:r>
          </w:p>
        </w:tc>
        <w:tc>
          <w:tcPr>
            <w:tcW w:w="824" w:type="dxa"/>
            <w:vMerge w:val="restart"/>
            <w:tcBorders>
              <w:top w:val="nil"/>
              <w:left w:val="single" w:color="auto" w:sz="4" w:space="0"/>
              <w:bottom w:val="single" w:color="auto" w:sz="4" w:space="0"/>
              <w:right w:val="single" w:color="auto" w:sz="4" w:space="0"/>
            </w:tcBorders>
            <w:noWrap w:val="0"/>
            <w:vAlign w:val="center"/>
          </w:tcPr>
          <w:p w14:paraId="3DB078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创新</w:t>
            </w:r>
          </w:p>
          <w:p w14:paraId="7BFA19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经费</w:t>
            </w:r>
          </w:p>
        </w:tc>
        <w:tc>
          <w:tcPr>
            <w:tcW w:w="541" w:type="dxa"/>
            <w:vMerge w:val="restart"/>
            <w:tcBorders>
              <w:top w:val="nil"/>
              <w:left w:val="single" w:color="auto" w:sz="4" w:space="0"/>
              <w:bottom w:val="single" w:color="auto" w:sz="4" w:space="0"/>
              <w:right w:val="single" w:color="auto" w:sz="4" w:space="0"/>
            </w:tcBorders>
            <w:noWrap w:val="0"/>
            <w:vAlign w:val="center"/>
          </w:tcPr>
          <w:p w14:paraId="3D8F1E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20</w:t>
            </w:r>
          </w:p>
        </w:tc>
        <w:tc>
          <w:tcPr>
            <w:tcW w:w="3764" w:type="dxa"/>
            <w:tcBorders>
              <w:top w:val="nil"/>
              <w:left w:val="nil"/>
              <w:bottom w:val="single" w:color="auto" w:sz="4" w:space="0"/>
              <w:right w:val="single" w:color="auto" w:sz="4" w:space="0"/>
            </w:tcBorders>
            <w:noWrap w:val="0"/>
            <w:vAlign w:val="center"/>
          </w:tcPr>
          <w:p w14:paraId="246213E3">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研发人员人均研发经费支出</w:t>
            </w:r>
          </w:p>
        </w:tc>
        <w:tc>
          <w:tcPr>
            <w:tcW w:w="828" w:type="dxa"/>
            <w:tcBorders>
              <w:top w:val="nil"/>
              <w:left w:val="nil"/>
              <w:bottom w:val="single" w:color="auto" w:sz="4" w:space="0"/>
              <w:right w:val="single" w:color="auto" w:sz="4" w:space="0"/>
            </w:tcBorders>
            <w:noWrap w:val="0"/>
            <w:vAlign w:val="center"/>
          </w:tcPr>
          <w:p w14:paraId="75EBCE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万元</w:t>
            </w:r>
          </w:p>
        </w:tc>
        <w:tc>
          <w:tcPr>
            <w:tcW w:w="800" w:type="dxa"/>
            <w:tcBorders>
              <w:top w:val="nil"/>
              <w:left w:val="nil"/>
              <w:bottom w:val="single" w:color="auto" w:sz="4" w:space="0"/>
              <w:right w:val="single" w:color="auto" w:sz="4" w:space="0"/>
            </w:tcBorders>
            <w:noWrap w:val="0"/>
            <w:vAlign w:val="center"/>
          </w:tcPr>
          <w:p w14:paraId="06C58D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8</w:t>
            </w:r>
          </w:p>
        </w:tc>
      </w:tr>
      <w:tr w14:paraId="56A768EC">
        <w:tblPrEx>
          <w:tblCellMar>
            <w:top w:w="0" w:type="dxa"/>
            <w:left w:w="108" w:type="dxa"/>
            <w:bottom w:w="0" w:type="dxa"/>
            <w:right w:w="108" w:type="dxa"/>
          </w:tblCellMar>
        </w:tblPrEx>
        <w:trPr>
          <w:trHeight w:val="348" w:hRule="atLeast"/>
          <w:jc w:val="center"/>
        </w:trPr>
        <w:tc>
          <w:tcPr>
            <w:tcW w:w="785" w:type="dxa"/>
            <w:vMerge w:val="continue"/>
            <w:tcBorders>
              <w:top w:val="nil"/>
              <w:left w:val="single" w:color="auto" w:sz="4" w:space="0"/>
              <w:bottom w:val="single" w:color="000000" w:sz="4" w:space="0"/>
              <w:right w:val="single" w:color="auto" w:sz="4" w:space="0"/>
            </w:tcBorders>
            <w:noWrap w:val="0"/>
            <w:vAlign w:val="center"/>
          </w:tcPr>
          <w:p w14:paraId="6708558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824" w:type="dxa"/>
            <w:vMerge w:val="continue"/>
            <w:tcBorders>
              <w:top w:val="nil"/>
              <w:left w:val="single" w:color="auto" w:sz="4" w:space="0"/>
              <w:bottom w:val="single" w:color="auto" w:sz="4" w:space="0"/>
              <w:right w:val="single" w:color="auto" w:sz="4" w:space="0"/>
            </w:tcBorders>
            <w:noWrap w:val="0"/>
            <w:vAlign w:val="center"/>
          </w:tcPr>
          <w:p w14:paraId="59D1BF4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541" w:type="dxa"/>
            <w:vMerge w:val="continue"/>
            <w:tcBorders>
              <w:top w:val="nil"/>
              <w:left w:val="single" w:color="auto" w:sz="4" w:space="0"/>
              <w:bottom w:val="single" w:color="auto" w:sz="4" w:space="0"/>
              <w:right w:val="single" w:color="auto" w:sz="4" w:space="0"/>
            </w:tcBorders>
            <w:noWrap w:val="0"/>
            <w:vAlign w:val="center"/>
          </w:tcPr>
          <w:p w14:paraId="58A21A0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3764" w:type="dxa"/>
            <w:tcBorders>
              <w:top w:val="nil"/>
              <w:left w:val="nil"/>
              <w:bottom w:val="single" w:color="auto" w:sz="4" w:space="0"/>
              <w:right w:val="single" w:color="auto" w:sz="4" w:space="0"/>
            </w:tcBorders>
            <w:noWrap w:val="0"/>
            <w:vAlign w:val="center"/>
          </w:tcPr>
          <w:p w14:paraId="62D22028">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研发经费支出占主营业务收入的比重</w:t>
            </w:r>
          </w:p>
        </w:tc>
        <w:tc>
          <w:tcPr>
            <w:tcW w:w="828" w:type="dxa"/>
            <w:tcBorders>
              <w:top w:val="nil"/>
              <w:left w:val="nil"/>
              <w:bottom w:val="single" w:color="auto" w:sz="4" w:space="0"/>
              <w:right w:val="single" w:color="auto" w:sz="4" w:space="0"/>
            </w:tcBorders>
            <w:noWrap w:val="0"/>
            <w:vAlign w:val="center"/>
          </w:tcPr>
          <w:p w14:paraId="602A47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kern w:val="0"/>
                <w:sz w:val="24"/>
                <w:szCs w:val="24"/>
                <w:lang w:val="en" w:eastAsia="zh-CN"/>
              </w:rPr>
            </w:pPr>
            <w:r>
              <w:rPr>
                <w:rFonts w:hint="default" w:ascii="Times New Roman" w:hAnsi="Times New Roman" w:eastAsia="仿宋_GB2312" w:cs="Times New Roman"/>
                <w:color w:val="000000"/>
                <w:kern w:val="0"/>
                <w:sz w:val="24"/>
                <w:szCs w:val="24"/>
                <w:lang w:val="en" w:eastAsia="zh-CN"/>
              </w:rPr>
              <w:t>%</w:t>
            </w:r>
          </w:p>
        </w:tc>
        <w:tc>
          <w:tcPr>
            <w:tcW w:w="800" w:type="dxa"/>
            <w:tcBorders>
              <w:top w:val="nil"/>
              <w:left w:val="nil"/>
              <w:bottom w:val="single" w:color="auto" w:sz="4" w:space="0"/>
              <w:right w:val="single" w:color="auto" w:sz="4" w:space="0"/>
            </w:tcBorders>
            <w:noWrap w:val="0"/>
            <w:vAlign w:val="center"/>
          </w:tcPr>
          <w:p w14:paraId="61FD37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12</w:t>
            </w:r>
          </w:p>
        </w:tc>
      </w:tr>
      <w:tr w14:paraId="4B994D4D">
        <w:tblPrEx>
          <w:tblCellMar>
            <w:top w:w="0" w:type="dxa"/>
            <w:left w:w="108" w:type="dxa"/>
            <w:bottom w:w="0" w:type="dxa"/>
            <w:right w:w="108" w:type="dxa"/>
          </w:tblCellMar>
        </w:tblPrEx>
        <w:trPr>
          <w:trHeight w:val="348" w:hRule="atLeast"/>
          <w:jc w:val="center"/>
        </w:trPr>
        <w:tc>
          <w:tcPr>
            <w:tcW w:w="785" w:type="dxa"/>
            <w:vMerge w:val="continue"/>
            <w:tcBorders>
              <w:top w:val="nil"/>
              <w:left w:val="single" w:color="auto" w:sz="4" w:space="0"/>
              <w:bottom w:val="single" w:color="000000" w:sz="4" w:space="0"/>
              <w:right w:val="single" w:color="auto" w:sz="4" w:space="0"/>
            </w:tcBorders>
            <w:noWrap w:val="0"/>
            <w:vAlign w:val="center"/>
          </w:tcPr>
          <w:p w14:paraId="7C7B2BA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824" w:type="dxa"/>
            <w:vMerge w:val="restart"/>
            <w:tcBorders>
              <w:top w:val="nil"/>
              <w:left w:val="single" w:color="auto" w:sz="4" w:space="0"/>
              <w:bottom w:val="single" w:color="000000" w:sz="4" w:space="0"/>
              <w:right w:val="single" w:color="auto" w:sz="4" w:space="0"/>
            </w:tcBorders>
            <w:noWrap w:val="0"/>
            <w:vAlign w:val="center"/>
          </w:tcPr>
          <w:p w14:paraId="38391FF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创新</w:t>
            </w:r>
          </w:p>
          <w:p w14:paraId="3F6549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人才</w:t>
            </w:r>
          </w:p>
        </w:tc>
        <w:tc>
          <w:tcPr>
            <w:tcW w:w="541" w:type="dxa"/>
            <w:vMerge w:val="restart"/>
            <w:tcBorders>
              <w:top w:val="nil"/>
              <w:left w:val="single" w:color="auto" w:sz="4" w:space="0"/>
              <w:bottom w:val="single" w:color="000000" w:sz="4" w:space="0"/>
              <w:right w:val="single" w:color="auto" w:sz="4" w:space="0"/>
            </w:tcBorders>
            <w:noWrap w:val="0"/>
            <w:vAlign w:val="center"/>
          </w:tcPr>
          <w:p w14:paraId="0A8C87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15</w:t>
            </w:r>
          </w:p>
        </w:tc>
        <w:tc>
          <w:tcPr>
            <w:tcW w:w="3764" w:type="dxa"/>
            <w:tcBorders>
              <w:top w:val="nil"/>
              <w:left w:val="nil"/>
              <w:bottom w:val="single" w:color="auto" w:sz="4" w:space="0"/>
              <w:right w:val="single" w:color="auto" w:sz="4" w:space="0"/>
            </w:tcBorders>
            <w:noWrap w:val="0"/>
            <w:vAlign w:val="center"/>
          </w:tcPr>
          <w:p w14:paraId="7125E366">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研发人员占企业职工总数的比重</w:t>
            </w:r>
          </w:p>
        </w:tc>
        <w:tc>
          <w:tcPr>
            <w:tcW w:w="828" w:type="dxa"/>
            <w:tcBorders>
              <w:top w:val="nil"/>
              <w:left w:val="nil"/>
              <w:bottom w:val="single" w:color="auto" w:sz="4" w:space="0"/>
              <w:right w:val="single" w:color="auto" w:sz="4" w:space="0"/>
            </w:tcBorders>
            <w:noWrap w:val="0"/>
            <w:vAlign w:val="center"/>
          </w:tcPr>
          <w:p w14:paraId="54C698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w:t>
            </w:r>
          </w:p>
        </w:tc>
        <w:tc>
          <w:tcPr>
            <w:tcW w:w="800" w:type="dxa"/>
            <w:tcBorders>
              <w:top w:val="nil"/>
              <w:left w:val="nil"/>
              <w:bottom w:val="single" w:color="auto" w:sz="4" w:space="0"/>
              <w:right w:val="single" w:color="auto" w:sz="4" w:space="0"/>
            </w:tcBorders>
            <w:noWrap w:val="0"/>
            <w:vAlign w:val="center"/>
          </w:tcPr>
          <w:p w14:paraId="536741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7</w:t>
            </w:r>
          </w:p>
        </w:tc>
      </w:tr>
      <w:tr w14:paraId="15ED66AB">
        <w:tblPrEx>
          <w:tblCellMar>
            <w:top w:w="0" w:type="dxa"/>
            <w:left w:w="108" w:type="dxa"/>
            <w:bottom w:w="0" w:type="dxa"/>
            <w:right w:w="108" w:type="dxa"/>
          </w:tblCellMar>
        </w:tblPrEx>
        <w:trPr>
          <w:trHeight w:val="696" w:hRule="atLeast"/>
          <w:jc w:val="center"/>
        </w:trPr>
        <w:tc>
          <w:tcPr>
            <w:tcW w:w="785" w:type="dxa"/>
            <w:vMerge w:val="continue"/>
            <w:tcBorders>
              <w:top w:val="nil"/>
              <w:left w:val="single" w:color="auto" w:sz="4" w:space="0"/>
              <w:bottom w:val="single" w:color="000000" w:sz="4" w:space="0"/>
              <w:right w:val="single" w:color="auto" w:sz="4" w:space="0"/>
            </w:tcBorders>
            <w:noWrap w:val="0"/>
            <w:vAlign w:val="center"/>
          </w:tcPr>
          <w:p w14:paraId="372740A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824" w:type="dxa"/>
            <w:vMerge w:val="continue"/>
            <w:tcBorders>
              <w:top w:val="nil"/>
              <w:left w:val="single" w:color="auto" w:sz="4" w:space="0"/>
              <w:bottom w:val="single" w:color="000000" w:sz="4" w:space="0"/>
              <w:right w:val="single" w:color="auto" w:sz="4" w:space="0"/>
            </w:tcBorders>
            <w:noWrap w:val="0"/>
            <w:vAlign w:val="center"/>
          </w:tcPr>
          <w:p w14:paraId="722766B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541" w:type="dxa"/>
            <w:vMerge w:val="continue"/>
            <w:tcBorders>
              <w:top w:val="nil"/>
              <w:left w:val="single" w:color="auto" w:sz="4" w:space="0"/>
              <w:bottom w:val="single" w:color="000000" w:sz="4" w:space="0"/>
              <w:right w:val="single" w:color="auto" w:sz="4" w:space="0"/>
            </w:tcBorders>
            <w:noWrap w:val="0"/>
            <w:vAlign w:val="center"/>
          </w:tcPr>
          <w:p w14:paraId="017ADF6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3764" w:type="dxa"/>
            <w:tcBorders>
              <w:top w:val="nil"/>
              <w:left w:val="nil"/>
              <w:bottom w:val="single" w:color="auto" w:sz="4" w:space="0"/>
              <w:right w:val="single" w:color="auto" w:sz="4" w:space="0"/>
            </w:tcBorders>
            <w:noWrap w:val="0"/>
            <w:vAlign w:val="center"/>
          </w:tcPr>
          <w:p w14:paraId="25F3A1F6">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技术中心拥有的高级</w:t>
            </w:r>
            <w:r>
              <w:rPr>
                <w:rFonts w:hint="eastAsia" w:ascii="Times New Roman" w:hAnsi="Times New Roman" w:eastAsia="仿宋_GB2312" w:cs="Times New Roman"/>
                <w:color w:val="000000"/>
                <w:kern w:val="0"/>
                <w:sz w:val="24"/>
                <w:szCs w:val="24"/>
                <w:lang w:eastAsia="zh-CN"/>
              </w:rPr>
              <w:t>职称</w:t>
            </w:r>
            <w:r>
              <w:rPr>
                <w:rFonts w:hint="eastAsia" w:ascii="Times New Roman" w:hAnsi="Times New Roman" w:eastAsia="仿宋_GB2312" w:cs="Times New Roman"/>
                <w:color w:val="000000"/>
                <w:kern w:val="0"/>
                <w:sz w:val="24"/>
                <w:szCs w:val="24"/>
              </w:rPr>
              <w:t>和博士人数</w:t>
            </w:r>
          </w:p>
        </w:tc>
        <w:tc>
          <w:tcPr>
            <w:tcW w:w="828" w:type="dxa"/>
            <w:tcBorders>
              <w:top w:val="nil"/>
              <w:left w:val="nil"/>
              <w:bottom w:val="single" w:color="auto" w:sz="4" w:space="0"/>
              <w:right w:val="single" w:color="auto" w:sz="4" w:space="0"/>
            </w:tcBorders>
            <w:noWrap w:val="0"/>
            <w:vAlign w:val="center"/>
          </w:tcPr>
          <w:p w14:paraId="1A2A4BB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w:t>
            </w:r>
          </w:p>
        </w:tc>
        <w:tc>
          <w:tcPr>
            <w:tcW w:w="800" w:type="dxa"/>
            <w:tcBorders>
              <w:top w:val="nil"/>
              <w:left w:val="nil"/>
              <w:bottom w:val="single" w:color="auto" w:sz="4" w:space="0"/>
              <w:right w:val="single" w:color="auto" w:sz="4" w:space="0"/>
            </w:tcBorders>
            <w:noWrap w:val="0"/>
            <w:vAlign w:val="center"/>
          </w:tcPr>
          <w:p w14:paraId="7C2460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val="en-US" w:eastAsia="zh-CN"/>
              </w:rPr>
              <w:t>8</w:t>
            </w:r>
          </w:p>
        </w:tc>
      </w:tr>
      <w:tr w14:paraId="2B091FAF">
        <w:tblPrEx>
          <w:tblCellMar>
            <w:top w:w="0" w:type="dxa"/>
            <w:left w:w="108" w:type="dxa"/>
            <w:bottom w:w="0" w:type="dxa"/>
            <w:right w:w="108" w:type="dxa"/>
          </w:tblCellMar>
        </w:tblPrEx>
        <w:trPr>
          <w:trHeight w:val="696" w:hRule="atLeast"/>
          <w:jc w:val="center"/>
        </w:trPr>
        <w:tc>
          <w:tcPr>
            <w:tcW w:w="785" w:type="dxa"/>
            <w:vMerge w:val="restart"/>
            <w:tcBorders>
              <w:top w:val="nil"/>
              <w:left w:val="single" w:color="auto" w:sz="4" w:space="0"/>
              <w:bottom w:val="single" w:color="auto" w:sz="4" w:space="0"/>
              <w:right w:val="single" w:color="auto" w:sz="4" w:space="0"/>
            </w:tcBorders>
            <w:noWrap w:val="0"/>
            <w:vAlign w:val="center"/>
          </w:tcPr>
          <w:p w14:paraId="528C3F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创新条件</w:t>
            </w:r>
          </w:p>
        </w:tc>
        <w:tc>
          <w:tcPr>
            <w:tcW w:w="824" w:type="dxa"/>
            <w:vMerge w:val="restart"/>
            <w:tcBorders>
              <w:top w:val="nil"/>
              <w:left w:val="single" w:color="auto" w:sz="4" w:space="0"/>
              <w:bottom w:val="single" w:color="auto" w:sz="4" w:space="0"/>
              <w:right w:val="single" w:color="auto" w:sz="4" w:space="0"/>
            </w:tcBorders>
            <w:noWrap w:val="0"/>
            <w:vAlign w:val="center"/>
          </w:tcPr>
          <w:p w14:paraId="53261E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技术</w:t>
            </w:r>
          </w:p>
          <w:p w14:paraId="2781AF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积累</w:t>
            </w:r>
          </w:p>
        </w:tc>
        <w:tc>
          <w:tcPr>
            <w:tcW w:w="541" w:type="dxa"/>
            <w:vMerge w:val="restart"/>
            <w:tcBorders>
              <w:top w:val="nil"/>
              <w:left w:val="single" w:color="auto" w:sz="4" w:space="0"/>
              <w:bottom w:val="single" w:color="auto" w:sz="4" w:space="0"/>
              <w:right w:val="single" w:color="auto" w:sz="4" w:space="0"/>
            </w:tcBorders>
            <w:noWrap w:val="0"/>
            <w:vAlign w:val="center"/>
          </w:tcPr>
          <w:p w14:paraId="1550FAB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13</w:t>
            </w:r>
          </w:p>
        </w:tc>
        <w:tc>
          <w:tcPr>
            <w:tcW w:w="3764" w:type="dxa"/>
            <w:tcBorders>
              <w:top w:val="nil"/>
              <w:left w:val="nil"/>
              <w:bottom w:val="single" w:color="auto" w:sz="4" w:space="0"/>
              <w:right w:val="single" w:color="auto" w:sz="4" w:space="0"/>
            </w:tcBorders>
            <w:noWrap w:val="0"/>
            <w:vAlign w:val="center"/>
          </w:tcPr>
          <w:p w14:paraId="6D82950E">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企业拥有的全部有效发明专利数</w:t>
            </w:r>
          </w:p>
        </w:tc>
        <w:tc>
          <w:tcPr>
            <w:tcW w:w="828" w:type="dxa"/>
            <w:tcBorders>
              <w:top w:val="nil"/>
              <w:left w:val="nil"/>
              <w:bottom w:val="single" w:color="auto" w:sz="4" w:space="0"/>
              <w:right w:val="single" w:color="auto" w:sz="4" w:space="0"/>
            </w:tcBorders>
            <w:noWrap w:val="0"/>
            <w:vAlign w:val="center"/>
          </w:tcPr>
          <w:p w14:paraId="180128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项</w:t>
            </w:r>
          </w:p>
        </w:tc>
        <w:tc>
          <w:tcPr>
            <w:tcW w:w="800" w:type="dxa"/>
            <w:tcBorders>
              <w:top w:val="nil"/>
              <w:left w:val="nil"/>
              <w:bottom w:val="single" w:color="auto" w:sz="4" w:space="0"/>
              <w:right w:val="single" w:color="auto" w:sz="4" w:space="0"/>
            </w:tcBorders>
            <w:noWrap w:val="0"/>
            <w:vAlign w:val="center"/>
          </w:tcPr>
          <w:p w14:paraId="4DEE7E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w:t>
            </w:r>
          </w:p>
        </w:tc>
      </w:tr>
      <w:tr w14:paraId="0C6D8201">
        <w:tblPrEx>
          <w:tblCellMar>
            <w:top w:w="0" w:type="dxa"/>
            <w:left w:w="108" w:type="dxa"/>
            <w:bottom w:w="0" w:type="dxa"/>
            <w:right w:w="108" w:type="dxa"/>
          </w:tblCellMar>
        </w:tblPrEx>
        <w:trPr>
          <w:trHeight w:val="348" w:hRule="atLeast"/>
          <w:jc w:val="center"/>
        </w:trPr>
        <w:tc>
          <w:tcPr>
            <w:tcW w:w="785" w:type="dxa"/>
            <w:vMerge w:val="continue"/>
            <w:tcBorders>
              <w:top w:val="nil"/>
              <w:left w:val="single" w:color="auto" w:sz="4" w:space="0"/>
              <w:bottom w:val="single" w:color="auto" w:sz="4" w:space="0"/>
              <w:right w:val="single" w:color="auto" w:sz="4" w:space="0"/>
            </w:tcBorders>
            <w:noWrap w:val="0"/>
            <w:vAlign w:val="center"/>
          </w:tcPr>
          <w:p w14:paraId="56BFFC3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824" w:type="dxa"/>
            <w:vMerge w:val="continue"/>
            <w:tcBorders>
              <w:top w:val="nil"/>
              <w:left w:val="single" w:color="auto" w:sz="4" w:space="0"/>
              <w:bottom w:val="single" w:color="auto" w:sz="4" w:space="0"/>
              <w:right w:val="single" w:color="auto" w:sz="4" w:space="0"/>
            </w:tcBorders>
            <w:noWrap w:val="0"/>
            <w:vAlign w:val="center"/>
          </w:tcPr>
          <w:p w14:paraId="1398290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541" w:type="dxa"/>
            <w:vMerge w:val="continue"/>
            <w:tcBorders>
              <w:top w:val="nil"/>
              <w:left w:val="single" w:color="auto" w:sz="4" w:space="0"/>
              <w:bottom w:val="single" w:color="auto" w:sz="4" w:space="0"/>
              <w:right w:val="single" w:color="auto" w:sz="4" w:space="0"/>
            </w:tcBorders>
            <w:noWrap w:val="0"/>
            <w:vAlign w:val="center"/>
          </w:tcPr>
          <w:p w14:paraId="0151DA6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3764" w:type="dxa"/>
            <w:tcBorders>
              <w:top w:val="nil"/>
              <w:left w:val="nil"/>
              <w:bottom w:val="single" w:color="auto" w:sz="4" w:space="0"/>
              <w:right w:val="single" w:color="auto" w:sz="4" w:space="0"/>
            </w:tcBorders>
            <w:noWrap w:val="0"/>
            <w:vAlign w:val="center"/>
          </w:tcPr>
          <w:p w14:paraId="55698751">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企业全部研发项目数</w:t>
            </w:r>
          </w:p>
        </w:tc>
        <w:tc>
          <w:tcPr>
            <w:tcW w:w="828" w:type="dxa"/>
            <w:tcBorders>
              <w:top w:val="nil"/>
              <w:left w:val="nil"/>
              <w:bottom w:val="single" w:color="auto" w:sz="4" w:space="0"/>
              <w:right w:val="single" w:color="auto" w:sz="4" w:space="0"/>
            </w:tcBorders>
            <w:noWrap w:val="0"/>
            <w:vAlign w:val="center"/>
          </w:tcPr>
          <w:p w14:paraId="672A9B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项</w:t>
            </w:r>
          </w:p>
        </w:tc>
        <w:tc>
          <w:tcPr>
            <w:tcW w:w="800" w:type="dxa"/>
            <w:tcBorders>
              <w:top w:val="nil"/>
              <w:left w:val="nil"/>
              <w:bottom w:val="single" w:color="auto" w:sz="4" w:space="0"/>
              <w:right w:val="single" w:color="auto" w:sz="4" w:space="0"/>
            </w:tcBorders>
            <w:noWrap w:val="0"/>
            <w:vAlign w:val="center"/>
          </w:tcPr>
          <w:p w14:paraId="553519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w:t>
            </w:r>
          </w:p>
        </w:tc>
      </w:tr>
      <w:tr w14:paraId="6F517CB6">
        <w:tblPrEx>
          <w:tblCellMar>
            <w:top w:w="0" w:type="dxa"/>
            <w:left w:w="108" w:type="dxa"/>
            <w:bottom w:w="0" w:type="dxa"/>
            <w:right w:w="108" w:type="dxa"/>
          </w:tblCellMar>
        </w:tblPrEx>
        <w:trPr>
          <w:trHeight w:val="348" w:hRule="atLeast"/>
          <w:jc w:val="center"/>
        </w:trPr>
        <w:tc>
          <w:tcPr>
            <w:tcW w:w="785" w:type="dxa"/>
            <w:vMerge w:val="continue"/>
            <w:tcBorders>
              <w:top w:val="nil"/>
              <w:left w:val="single" w:color="auto" w:sz="4" w:space="0"/>
              <w:bottom w:val="single" w:color="auto" w:sz="4" w:space="0"/>
              <w:right w:val="single" w:color="auto" w:sz="4" w:space="0"/>
            </w:tcBorders>
            <w:noWrap w:val="0"/>
            <w:vAlign w:val="center"/>
          </w:tcPr>
          <w:p w14:paraId="66255EE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824" w:type="dxa"/>
            <w:vMerge w:val="continue"/>
            <w:tcBorders>
              <w:top w:val="nil"/>
              <w:left w:val="single" w:color="auto" w:sz="4" w:space="0"/>
              <w:bottom w:val="single" w:color="auto" w:sz="4" w:space="0"/>
              <w:right w:val="single" w:color="auto" w:sz="4" w:space="0"/>
            </w:tcBorders>
            <w:noWrap w:val="0"/>
            <w:vAlign w:val="center"/>
          </w:tcPr>
          <w:p w14:paraId="2EBC567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541" w:type="dxa"/>
            <w:vMerge w:val="continue"/>
            <w:tcBorders>
              <w:top w:val="nil"/>
              <w:left w:val="single" w:color="auto" w:sz="4" w:space="0"/>
              <w:bottom w:val="single" w:color="auto" w:sz="4" w:space="0"/>
              <w:right w:val="single" w:color="auto" w:sz="4" w:space="0"/>
            </w:tcBorders>
            <w:noWrap w:val="0"/>
            <w:vAlign w:val="center"/>
          </w:tcPr>
          <w:p w14:paraId="1E7C934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3764" w:type="dxa"/>
            <w:tcBorders>
              <w:top w:val="nil"/>
              <w:left w:val="nil"/>
              <w:bottom w:val="single" w:color="auto" w:sz="4" w:space="0"/>
              <w:right w:val="single" w:color="auto" w:sz="4" w:space="0"/>
            </w:tcBorders>
            <w:noWrap w:val="0"/>
            <w:vAlign w:val="center"/>
          </w:tcPr>
          <w:p w14:paraId="77FD4C5C">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基础研究和应用研究项目数占全部研发项目数的比重</w:t>
            </w:r>
          </w:p>
        </w:tc>
        <w:tc>
          <w:tcPr>
            <w:tcW w:w="828" w:type="dxa"/>
            <w:tcBorders>
              <w:top w:val="nil"/>
              <w:left w:val="nil"/>
              <w:bottom w:val="single" w:color="auto" w:sz="4" w:space="0"/>
              <w:right w:val="single" w:color="auto" w:sz="4" w:space="0"/>
            </w:tcBorders>
            <w:noWrap w:val="0"/>
            <w:vAlign w:val="center"/>
          </w:tcPr>
          <w:p w14:paraId="7B6ED8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w:t>
            </w:r>
          </w:p>
        </w:tc>
        <w:tc>
          <w:tcPr>
            <w:tcW w:w="800" w:type="dxa"/>
            <w:tcBorders>
              <w:top w:val="nil"/>
              <w:left w:val="nil"/>
              <w:bottom w:val="single" w:color="auto" w:sz="4" w:space="0"/>
              <w:right w:val="single" w:color="auto" w:sz="4" w:space="0"/>
            </w:tcBorders>
            <w:noWrap w:val="0"/>
            <w:vAlign w:val="center"/>
          </w:tcPr>
          <w:p w14:paraId="5412EAB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w:t>
            </w:r>
          </w:p>
        </w:tc>
      </w:tr>
      <w:tr w14:paraId="71EE5A24">
        <w:tblPrEx>
          <w:tblCellMar>
            <w:top w:w="0" w:type="dxa"/>
            <w:left w:w="108" w:type="dxa"/>
            <w:bottom w:w="0" w:type="dxa"/>
            <w:right w:w="108" w:type="dxa"/>
          </w:tblCellMar>
        </w:tblPrEx>
        <w:trPr>
          <w:trHeight w:val="348" w:hRule="atLeast"/>
          <w:jc w:val="center"/>
        </w:trPr>
        <w:tc>
          <w:tcPr>
            <w:tcW w:w="785" w:type="dxa"/>
            <w:vMerge w:val="continue"/>
            <w:tcBorders>
              <w:top w:val="nil"/>
              <w:left w:val="single" w:color="auto" w:sz="4" w:space="0"/>
              <w:bottom w:val="single" w:color="auto" w:sz="4" w:space="0"/>
              <w:right w:val="single" w:color="auto" w:sz="4" w:space="0"/>
            </w:tcBorders>
            <w:noWrap w:val="0"/>
            <w:vAlign w:val="center"/>
          </w:tcPr>
          <w:p w14:paraId="38341E7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824" w:type="dxa"/>
            <w:vMerge w:val="restart"/>
            <w:tcBorders>
              <w:top w:val="nil"/>
              <w:left w:val="single" w:color="auto" w:sz="4" w:space="0"/>
              <w:bottom w:val="single" w:color="000000" w:sz="4" w:space="0"/>
              <w:right w:val="single" w:color="auto" w:sz="4" w:space="0"/>
            </w:tcBorders>
            <w:noWrap w:val="0"/>
            <w:vAlign w:val="center"/>
          </w:tcPr>
          <w:p w14:paraId="0E13A1E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创新</w:t>
            </w:r>
          </w:p>
          <w:p w14:paraId="7CF3CFA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平台</w:t>
            </w:r>
          </w:p>
        </w:tc>
        <w:tc>
          <w:tcPr>
            <w:tcW w:w="541" w:type="dxa"/>
            <w:vMerge w:val="restart"/>
            <w:tcBorders>
              <w:top w:val="nil"/>
              <w:left w:val="single" w:color="auto" w:sz="4" w:space="0"/>
              <w:bottom w:val="single" w:color="000000" w:sz="4" w:space="0"/>
              <w:right w:val="single" w:color="auto" w:sz="4" w:space="0"/>
            </w:tcBorders>
            <w:noWrap w:val="0"/>
            <w:vAlign w:val="center"/>
          </w:tcPr>
          <w:p w14:paraId="784DCA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12</w:t>
            </w:r>
          </w:p>
        </w:tc>
        <w:tc>
          <w:tcPr>
            <w:tcW w:w="3764" w:type="dxa"/>
            <w:tcBorders>
              <w:top w:val="nil"/>
              <w:left w:val="nil"/>
              <w:bottom w:val="single" w:color="auto" w:sz="4" w:space="0"/>
              <w:right w:val="single" w:color="auto" w:sz="4" w:space="0"/>
            </w:tcBorders>
            <w:noWrap w:val="0"/>
            <w:vAlign w:val="center"/>
          </w:tcPr>
          <w:p w14:paraId="4343D0FF">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企业技术开发仪器设备原值</w:t>
            </w:r>
          </w:p>
        </w:tc>
        <w:tc>
          <w:tcPr>
            <w:tcW w:w="828" w:type="dxa"/>
            <w:tcBorders>
              <w:top w:val="nil"/>
              <w:left w:val="nil"/>
              <w:bottom w:val="single" w:color="auto" w:sz="4" w:space="0"/>
              <w:right w:val="single" w:color="auto" w:sz="4" w:space="0"/>
            </w:tcBorders>
            <w:noWrap w:val="0"/>
            <w:vAlign w:val="center"/>
          </w:tcPr>
          <w:p w14:paraId="5812D3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万元</w:t>
            </w:r>
          </w:p>
        </w:tc>
        <w:tc>
          <w:tcPr>
            <w:tcW w:w="800" w:type="dxa"/>
            <w:tcBorders>
              <w:top w:val="nil"/>
              <w:left w:val="nil"/>
              <w:bottom w:val="single" w:color="auto" w:sz="4" w:space="0"/>
              <w:right w:val="single" w:color="auto" w:sz="4" w:space="0"/>
            </w:tcBorders>
            <w:noWrap w:val="0"/>
            <w:vAlign w:val="center"/>
          </w:tcPr>
          <w:p w14:paraId="001BA1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4</w:t>
            </w:r>
          </w:p>
        </w:tc>
      </w:tr>
      <w:tr w14:paraId="188DE6A2">
        <w:tblPrEx>
          <w:tblCellMar>
            <w:top w:w="0" w:type="dxa"/>
            <w:left w:w="108" w:type="dxa"/>
            <w:bottom w:w="0" w:type="dxa"/>
            <w:right w:w="108" w:type="dxa"/>
          </w:tblCellMar>
        </w:tblPrEx>
        <w:trPr>
          <w:trHeight w:val="348" w:hRule="atLeast"/>
          <w:jc w:val="center"/>
        </w:trPr>
        <w:tc>
          <w:tcPr>
            <w:tcW w:w="785" w:type="dxa"/>
            <w:vMerge w:val="continue"/>
            <w:tcBorders>
              <w:top w:val="nil"/>
              <w:left w:val="single" w:color="auto" w:sz="4" w:space="0"/>
              <w:bottom w:val="single" w:color="auto" w:sz="4" w:space="0"/>
              <w:right w:val="single" w:color="auto" w:sz="4" w:space="0"/>
            </w:tcBorders>
            <w:noWrap w:val="0"/>
            <w:vAlign w:val="center"/>
          </w:tcPr>
          <w:p w14:paraId="2EB7D89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824" w:type="dxa"/>
            <w:vMerge w:val="continue"/>
            <w:tcBorders>
              <w:top w:val="nil"/>
              <w:left w:val="single" w:color="auto" w:sz="4" w:space="0"/>
              <w:bottom w:val="single" w:color="000000" w:sz="4" w:space="0"/>
              <w:right w:val="single" w:color="auto" w:sz="4" w:space="0"/>
            </w:tcBorders>
            <w:noWrap w:val="0"/>
            <w:vAlign w:val="center"/>
          </w:tcPr>
          <w:p w14:paraId="7B3279E1">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541" w:type="dxa"/>
            <w:vMerge w:val="continue"/>
            <w:tcBorders>
              <w:top w:val="nil"/>
              <w:left w:val="single" w:color="auto" w:sz="4" w:space="0"/>
              <w:bottom w:val="single" w:color="000000" w:sz="4" w:space="0"/>
              <w:right w:val="single" w:color="auto" w:sz="4" w:space="0"/>
            </w:tcBorders>
            <w:noWrap w:val="0"/>
            <w:vAlign w:val="center"/>
          </w:tcPr>
          <w:p w14:paraId="591C164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3764" w:type="dxa"/>
            <w:tcBorders>
              <w:top w:val="nil"/>
              <w:left w:val="nil"/>
              <w:bottom w:val="single" w:color="auto" w:sz="4" w:space="0"/>
              <w:right w:val="single" w:color="auto" w:sz="4" w:space="0"/>
            </w:tcBorders>
            <w:noWrap w:val="0"/>
            <w:vAlign w:val="center"/>
          </w:tcPr>
          <w:p w14:paraId="585209E8">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国家级研发平台数</w:t>
            </w:r>
          </w:p>
        </w:tc>
        <w:tc>
          <w:tcPr>
            <w:tcW w:w="828" w:type="dxa"/>
            <w:tcBorders>
              <w:top w:val="nil"/>
              <w:left w:val="nil"/>
              <w:bottom w:val="single" w:color="auto" w:sz="4" w:space="0"/>
              <w:right w:val="single" w:color="auto" w:sz="4" w:space="0"/>
            </w:tcBorders>
            <w:noWrap w:val="0"/>
            <w:vAlign w:val="center"/>
          </w:tcPr>
          <w:p w14:paraId="4DD33A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个</w:t>
            </w:r>
          </w:p>
        </w:tc>
        <w:tc>
          <w:tcPr>
            <w:tcW w:w="800" w:type="dxa"/>
            <w:tcBorders>
              <w:top w:val="nil"/>
              <w:left w:val="nil"/>
              <w:bottom w:val="single" w:color="auto" w:sz="4" w:space="0"/>
              <w:right w:val="single" w:color="auto" w:sz="4" w:space="0"/>
            </w:tcBorders>
            <w:noWrap w:val="0"/>
            <w:vAlign w:val="center"/>
          </w:tcPr>
          <w:p w14:paraId="7A560A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3</w:t>
            </w:r>
          </w:p>
        </w:tc>
      </w:tr>
      <w:tr w14:paraId="5E4CF80E">
        <w:tblPrEx>
          <w:tblCellMar>
            <w:top w:w="0" w:type="dxa"/>
            <w:left w:w="108" w:type="dxa"/>
            <w:bottom w:w="0" w:type="dxa"/>
            <w:right w:w="108" w:type="dxa"/>
          </w:tblCellMar>
        </w:tblPrEx>
        <w:trPr>
          <w:trHeight w:val="348" w:hRule="atLeast"/>
          <w:jc w:val="center"/>
        </w:trPr>
        <w:tc>
          <w:tcPr>
            <w:tcW w:w="785" w:type="dxa"/>
            <w:vMerge w:val="continue"/>
            <w:tcBorders>
              <w:top w:val="nil"/>
              <w:left w:val="single" w:color="auto" w:sz="4" w:space="0"/>
              <w:bottom w:val="single" w:color="auto" w:sz="4" w:space="0"/>
              <w:right w:val="single" w:color="auto" w:sz="4" w:space="0"/>
            </w:tcBorders>
            <w:noWrap w:val="0"/>
            <w:vAlign w:val="center"/>
          </w:tcPr>
          <w:p w14:paraId="3270BB1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824" w:type="dxa"/>
            <w:vMerge w:val="continue"/>
            <w:tcBorders>
              <w:top w:val="nil"/>
              <w:left w:val="single" w:color="auto" w:sz="4" w:space="0"/>
              <w:bottom w:val="single" w:color="000000" w:sz="4" w:space="0"/>
              <w:right w:val="single" w:color="auto" w:sz="4" w:space="0"/>
            </w:tcBorders>
            <w:noWrap w:val="0"/>
            <w:vAlign w:val="center"/>
          </w:tcPr>
          <w:p w14:paraId="52DABC7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541" w:type="dxa"/>
            <w:vMerge w:val="continue"/>
            <w:tcBorders>
              <w:top w:val="nil"/>
              <w:left w:val="single" w:color="auto" w:sz="4" w:space="0"/>
              <w:bottom w:val="single" w:color="000000" w:sz="4" w:space="0"/>
              <w:right w:val="single" w:color="auto" w:sz="4" w:space="0"/>
            </w:tcBorders>
            <w:noWrap w:val="0"/>
            <w:vAlign w:val="center"/>
          </w:tcPr>
          <w:p w14:paraId="41EECC5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3764" w:type="dxa"/>
            <w:tcBorders>
              <w:top w:val="nil"/>
              <w:left w:val="nil"/>
              <w:bottom w:val="single" w:color="auto" w:sz="4" w:space="0"/>
              <w:right w:val="single" w:color="auto" w:sz="4" w:space="0"/>
            </w:tcBorders>
            <w:noWrap w:val="0"/>
            <w:vAlign w:val="center"/>
          </w:tcPr>
          <w:p w14:paraId="750BD9DF">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省级研发平台数</w:t>
            </w:r>
          </w:p>
        </w:tc>
        <w:tc>
          <w:tcPr>
            <w:tcW w:w="828" w:type="dxa"/>
            <w:tcBorders>
              <w:top w:val="nil"/>
              <w:left w:val="nil"/>
              <w:bottom w:val="single" w:color="auto" w:sz="4" w:space="0"/>
              <w:right w:val="single" w:color="auto" w:sz="4" w:space="0"/>
            </w:tcBorders>
            <w:noWrap w:val="0"/>
            <w:vAlign w:val="center"/>
          </w:tcPr>
          <w:p w14:paraId="575E5E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个</w:t>
            </w:r>
          </w:p>
        </w:tc>
        <w:tc>
          <w:tcPr>
            <w:tcW w:w="800" w:type="dxa"/>
            <w:tcBorders>
              <w:top w:val="nil"/>
              <w:left w:val="nil"/>
              <w:bottom w:val="single" w:color="auto" w:sz="4" w:space="0"/>
              <w:right w:val="single" w:color="auto" w:sz="4" w:space="0"/>
            </w:tcBorders>
            <w:noWrap w:val="0"/>
            <w:vAlign w:val="center"/>
          </w:tcPr>
          <w:p w14:paraId="5F0770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2</w:t>
            </w:r>
          </w:p>
        </w:tc>
      </w:tr>
      <w:tr w14:paraId="7E370CDD">
        <w:tblPrEx>
          <w:tblCellMar>
            <w:top w:w="0" w:type="dxa"/>
            <w:left w:w="108" w:type="dxa"/>
            <w:bottom w:w="0" w:type="dxa"/>
            <w:right w:w="108" w:type="dxa"/>
          </w:tblCellMar>
        </w:tblPrEx>
        <w:trPr>
          <w:trHeight w:val="600" w:hRule="atLeast"/>
          <w:jc w:val="center"/>
        </w:trPr>
        <w:tc>
          <w:tcPr>
            <w:tcW w:w="785" w:type="dxa"/>
            <w:vMerge w:val="continue"/>
            <w:tcBorders>
              <w:top w:val="nil"/>
              <w:left w:val="single" w:color="auto" w:sz="4" w:space="0"/>
              <w:bottom w:val="single" w:color="auto" w:sz="4" w:space="0"/>
              <w:right w:val="single" w:color="auto" w:sz="4" w:space="0"/>
            </w:tcBorders>
            <w:noWrap w:val="0"/>
            <w:vAlign w:val="center"/>
          </w:tcPr>
          <w:p w14:paraId="72D6715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824" w:type="dxa"/>
            <w:vMerge w:val="continue"/>
            <w:tcBorders>
              <w:top w:val="nil"/>
              <w:left w:val="single" w:color="auto" w:sz="4" w:space="0"/>
              <w:bottom w:val="single" w:color="000000" w:sz="4" w:space="0"/>
              <w:right w:val="single" w:color="auto" w:sz="4" w:space="0"/>
            </w:tcBorders>
            <w:noWrap w:val="0"/>
            <w:vAlign w:val="center"/>
          </w:tcPr>
          <w:p w14:paraId="1F915F91">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541" w:type="dxa"/>
            <w:vMerge w:val="continue"/>
            <w:tcBorders>
              <w:top w:val="nil"/>
              <w:left w:val="single" w:color="auto" w:sz="4" w:space="0"/>
              <w:bottom w:val="single" w:color="000000" w:sz="4" w:space="0"/>
              <w:right w:val="single" w:color="auto" w:sz="4" w:space="0"/>
            </w:tcBorders>
            <w:noWrap w:val="0"/>
            <w:vAlign w:val="center"/>
          </w:tcPr>
          <w:p w14:paraId="27B5B75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3764" w:type="dxa"/>
            <w:tcBorders>
              <w:top w:val="nil"/>
              <w:left w:val="nil"/>
              <w:bottom w:val="single" w:color="auto" w:sz="4" w:space="0"/>
              <w:right w:val="single" w:color="auto" w:sz="4" w:space="0"/>
            </w:tcBorders>
            <w:noWrap w:val="0"/>
            <w:vAlign w:val="center"/>
          </w:tcPr>
          <w:p w14:paraId="5807C376">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通过国家（国际组织）认证的实验室和检测机构数</w:t>
            </w:r>
          </w:p>
        </w:tc>
        <w:tc>
          <w:tcPr>
            <w:tcW w:w="828" w:type="dxa"/>
            <w:tcBorders>
              <w:top w:val="nil"/>
              <w:left w:val="nil"/>
              <w:bottom w:val="single" w:color="auto" w:sz="4" w:space="0"/>
              <w:right w:val="single" w:color="auto" w:sz="4" w:space="0"/>
            </w:tcBorders>
            <w:noWrap w:val="0"/>
            <w:vAlign w:val="center"/>
          </w:tcPr>
          <w:p w14:paraId="399808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个</w:t>
            </w:r>
          </w:p>
        </w:tc>
        <w:tc>
          <w:tcPr>
            <w:tcW w:w="800" w:type="dxa"/>
            <w:tcBorders>
              <w:top w:val="nil"/>
              <w:left w:val="nil"/>
              <w:bottom w:val="single" w:color="auto" w:sz="4" w:space="0"/>
              <w:right w:val="single" w:color="auto" w:sz="4" w:space="0"/>
            </w:tcBorders>
            <w:noWrap w:val="0"/>
            <w:vAlign w:val="center"/>
          </w:tcPr>
          <w:p w14:paraId="5BC0208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3</w:t>
            </w:r>
          </w:p>
        </w:tc>
      </w:tr>
      <w:tr w14:paraId="54FF83F5">
        <w:tblPrEx>
          <w:tblCellMar>
            <w:top w:w="0" w:type="dxa"/>
            <w:left w:w="108" w:type="dxa"/>
            <w:bottom w:w="0" w:type="dxa"/>
            <w:right w:w="108" w:type="dxa"/>
          </w:tblCellMar>
        </w:tblPrEx>
        <w:trPr>
          <w:trHeight w:val="348" w:hRule="atLeast"/>
          <w:jc w:val="center"/>
        </w:trPr>
        <w:tc>
          <w:tcPr>
            <w:tcW w:w="785" w:type="dxa"/>
            <w:vMerge w:val="restart"/>
            <w:tcBorders>
              <w:top w:val="nil"/>
              <w:left w:val="single" w:color="auto" w:sz="4" w:space="0"/>
              <w:bottom w:val="single" w:color="auto" w:sz="4" w:space="0"/>
              <w:right w:val="single" w:color="auto" w:sz="4" w:space="0"/>
            </w:tcBorders>
            <w:noWrap w:val="0"/>
            <w:vAlign w:val="center"/>
          </w:tcPr>
          <w:p w14:paraId="16EBA03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创新绩效</w:t>
            </w:r>
          </w:p>
        </w:tc>
        <w:tc>
          <w:tcPr>
            <w:tcW w:w="824" w:type="dxa"/>
            <w:vMerge w:val="restart"/>
            <w:tcBorders>
              <w:top w:val="nil"/>
              <w:left w:val="single" w:color="auto" w:sz="4" w:space="0"/>
              <w:bottom w:val="single" w:color="auto" w:sz="4" w:space="0"/>
              <w:right w:val="single" w:color="auto" w:sz="4" w:space="0"/>
            </w:tcBorders>
            <w:noWrap w:val="0"/>
            <w:vAlign w:val="center"/>
          </w:tcPr>
          <w:p w14:paraId="1094232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技术</w:t>
            </w:r>
          </w:p>
          <w:p w14:paraId="4141629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产出</w:t>
            </w:r>
          </w:p>
        </w:tc>
        <w:tc>
          <w:tcPr>
            <w:tcW w:w="541" w:type="dxa"/>
            <w:vMerge w:val="restart"/>
            <w:tcBorders>
              <w:top w:val="nil"/>
              <w:left w:val="single" w:color="auto" w:sz="4" w:space="0"/>
              <w:bottom w:val="single" w:color="auto" w:sz="4" w:space="0"/>
              <w:right w:val="single" w:color="auto" w:sz="4" w:space="0"/>
            </w:tcBorders>
            <w:noWrap w:val="0"/>
            <w:vAlign w:val="center"/>
          </w:tcPr>
          <w:p w14:paraId="26930C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15</w:t>
            </w:r>
          </w:p>
        </w:tc>
        <w:tc>
          <w:tcPr>
            <w:tcW w:w="3764" w:type="dxa"/>
            <w:tcBorders>
              <w:top w:val="nil"/>
              <w:left w:val="nil"/>
              <w:bottom w:val="single" w:color="auto" w:sz="4" w:space="0"/>
              <w:right w:val="single" w:color="auto" w:sz="4" w:space="0"/>
            </w:tcBorders>
            <w:noWrap w:val="0"/>
            <w:vAlign w:val="center"/>
          </w:tcPr>
          <w:p w14:paraId="45931CE0">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当年被受理的专利申请数</w:t>
            </w:r>
          </w:p>
        </w:tc>
        <w:tc>
          <w:tcPr>
            <w:tcW w:w="828" w:type="dxa"/>
            <w:tcBorders>
              <w:top w:val="nil"/>
              <w:left w:val="nil"/>
              <w:bottom w:val="single" w:color="auto" w:sz="4" w:space="0"/>
              <w:right w:val="single" w:color="auto" w:sz="4" w:space="0"/>
            </w:tcBorders>
            <w:noWrap w:val="0"/>
            <w:vAlign w:val="center"/>
          </w:tcPr>
          <w:p w14:paraId="33D015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w:t>
            </w:r>
          </w:p>
        </w:tc>
        <w:tc>
          <w:tcPr>
            <w:tcW w:w="800" w:type="dxa"/>
            <w:tcBorders>
              <w:top w:val="nil"/>
              <w:left w:val="nil"/>
              <w:bottom w:val="single" w:color="auto" w:sz="4" w:space="0"/>
              <w:right w:val="single" w:color="auto" w:sz="4" w:space="0"/>
            </w:tcBorders>
            <w:noWrap w:val="0"/>
            <w:vAlign w:val="center"/>
          </w:tcPr>
          <w:p w14:paraId="4A4A483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5</w:t>
            </w:r>
          </w:p>
        </w:tc>
      </w:tr>
      <w:tr w14:paraId="25107FEE">
        <w:tblPrEx>
          <w:tblCellMar>
            <w:top w:w="0" w:type="dxa"/>
            <w:left w:w="108" w:type="dxa"/>
            <w:bottom w:w="0" w:type="dxa"/>
            <w:right w:w="108" w:type="dxa"/>
          </w:tblCellMar>
        </w:tblPrEx>
        <w:trPr>
          <w:trHeight w:val="348" w:hRule="atLeast"/>
          <w:jc w:val="center"/>
        </w:trPr>
        <w:tc>
          <w:tcPr>
            <w:tcW w:w="785" w:type="dxa"/>
            <w:vMerge w:val="continue"/>
            <w:tcBorders>
              <w:top w:val="nil"/>
              <w:left w:val="single" w:color="auto" w:sz="4" w:space="0"/>
              <w:bottom w:val="single" w:color="auto" w:sz="4" w:space="0"/>
              <w:right w:val="single" w:color="auto" w:sz="4" w:space="0"/>
            </w:tcBorders>
            <w:noWrap w:val="0"/>
            <w:vAlign w:val="center"/>
          </w:tcPr>
          <w:p w14:paraId="09F8CBE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824" w:type="dxa"/>
            <w:vMerge w:val="continue"/>
            <w:tcBorders>
              <w:top w:val="nil"/>
              <w:left w:val="single" w:color="auto" w:sz="4" w:space="0"/>
              <w:bottom w:val="single" w:color="auto" w:sz="4" w:space="0"/>
              <w:right w:val="single" w:color="auto" w:sz="4" w:space="0"/>
            </w:tcBorders>
            <w:noWrap w:val="0"/>
            <w:vAlign w:val="center"/>
          </w:tcPr>
          <w:p w14:paraId="40086C7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541" w:type="dxa"/>
            <w:vMerge w:val="continue"/>
            <w:tcBorders>
              <w:top w:val="nil"/>
              <w:left w:val="single" w:color="auto" w:sz="4" w:space="0"/>
              <w:bottom w:val="single" w:color="auto" w:sz="4" w:space="0"/>
              <w:right w:val="single" w:color="auto" w:sz="4" w:space="0"/>
            </w:tcBorders>
            <w:noWrap w:val="0"/>
            <w:vAlign w:val="center"/>
          </w:tcPr>
          <w:p w14:paraId="3036E57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3764" w:type="dxa"/>
            <w:tcBorders>
              <w:top w:val="nil"/>
              <w:left w:val="nil"/>
              <w:bottom w:val="single" w:color="auto" w:sz="4" w:space="0"/>
              <w:right w:val="single" w:color="auto" w:sz="4" w:space="0"/>
            </w:tcBorders>
            <w:noWrap w:val="0"/>
            <w:vAlign w:val="center"/>
          </w:tcPr>
          <w:p w14:paraId="106CE9E7">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当年被受理的发明专利申请数</w:t>
            </w:r>
          </w:p>
        </w:tc>
        <w:tc>
          <w:tcPr>
            <w:tcW w:w="828" w:type="dxa"/>
            <w:tcBorders>
              <w:top w:val="nil"/>
              <w:left w:val="nil"/>
              <w:bottom w:val="single" w:color="auto" w:sz="4" w:space="0"/>
              <w:right w:val="single" w:color="auto" w:sz="4" w:space="0"/>
            </w:tcBorders>
            <w:noWrap w:val="0"/>
            <w:vAlign w:val="center"/>
          </w:tcPr>
          <w:p w14:paraId="4F188B9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w:t>
            </w:r>
          </w:p>
        </w:tc>
        <w:tc>
          <w:tcPr>
            <w:tcW w:w="800" w:type="dxa"/>
            <w:tcBorders>
              <w:top w:val="nil"/>
              <w:left w:val="nil"/>
              <w:bottom w:val="single" w:color="auto" w:sz="4" w:space="0"/>
              <w:right w:val="single" w:color="auto" w:sz="4" w:space="0"/>
            </w:tcBorders>
            <w:noWrap w:val="0"/>
            <w:vAlign w:val="center"/>
          </w:tcPr>
          <w:p w14:paraId="477BA8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6</w:t>
            </w:r>
          </w:p>
        </w:tc>
      </w:tr>
      <w:tr w14:paraId="2B17AB9E">
        <w:tblPrEx>
          <w:tblCellMar>
            <w:top w:w="0" w:type="dxa"/>
            <w:left w:w="108" w:type="dxa"/>
            <w:bottom w:w="0" w:type="dxa"/>
            <w:right w:w="108" w:type="dxa"/>
          </w:tblCellMar>
        </w:tblPrEx>
        <w:trPr>
          <w:trHeight w:val="696" w:hRule="atLeast"/>
          <w:jc w:val="center"/>
        </w:trPr>
        <w:tc>
          <w:tcPr>
            <w:tcW w:w="785" w:type="dxa"/>
            <w:vMerge w:val="continue"/>
            <w:tcBorders>
              <w:top w:val="nil"/>
              <w:left w:val="single" w:color="auto" w:sz="4" w:space="0"/>
              <w:bottom w:val="single" w:color="auto" w:sz="4" w:space="0"/>
              <w:right w:val="single" w:color="auto" w:sz="4" w:space="0"/>
            </w:tcBorders>
            <w:noWrap w:val="0"/>
            <w:vAlign w:val="center"/>
          </w:tcPr>
          <w:p w14:paraId="21882A0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824" w:type="dxa"/>
            <w:vMerge w:val="continue"/>
            <w:tcBorders>
              <w:top w:val="nil"/>
              <w:left w:val="single" w:color="auto" w:sz="4" w:space="0"/>
              <w:bottom w:val="single" w:color="auto" w:sz="4" w:space="0"/>
              <w:right w:val="single" w:color="auto" w:sz="4" w:space="0"/>
            </w:tcBorders>
            <w:noWrap w:val="0"/>
            <w:vAlign w:val="center"/>
          </w:tcPr>
          <w:p w14:paraId="539A59F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541" w:type="dxa"/>
            <w:vMerge w:val="continue"/>
            <w:tcBorders>
              <w:top w:val="nil"/>
              <w:left w:val="single" w:color="auto" w:sz="4" w:space="0"/>
              <w:bottom w:val="single" w:color="auto" w:sz="4" w:space="0"/>
              <w:right w:val="single" w:color="auto" w:sz="4" w:space="0"/>
            </w:tcBorders>
            <w:noWrap w:val="0"/>
            <w:vAlign w:val="center"/>
          </w:tcPr>
          <w:p w14:paraId="5427873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3764" w:type="dxa"/>
            <w:tcBorders>
              <w:top w:val="nil"/>
              <w:left w:val="nil"/>
              <w:bottom w:val="single" w:color="auto" w:sz="4" w:space="0"/>
              <w:right w:val="single" w:color="auto" w:sz="4" w:space="0"/>
            </w:tcBorders>
            <w:noWrap w:val="0"/>
            <w:vAlign w:val="center"/>
          </w:tcPr>
          <w:p w14:paraId="4342EC9F">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最近三年主持和参加制定的国际、国家和行业标准数</w:t>
            </w:r>
          </w:p>
        </w:tc>
        <w:tc>
          <w:tcPr>
            <w:tcW w:w="828" w:type="dxa"/>
            <w:tcBorders>
              <w:top w:val="nil"/>
              <w:left w:val="nil"/>
              <w:bottom w:val="single" w:color="auto" w:sz="4" w:space="0"/>
              <w:right w:val="single" w:color="auto" w:sz="4" w:space="0"/>
            </w:tcBorders>
            <w:noWrap w:val="0"/>
            <w:vAlign w:val="center"/>
          </w:tcPr>
          <w:p w14:paraId="515FD6D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w:t>
            </w:r>
          </w:p>
        </w:tc>
        <w:tc>
          <w:tcPr>
            <w:tcW w:w="800" w:type="dxa"/>
            <w:tcBorders>
              <w:top w:val="nil"/>
              <w:left w:val="nil"/>
              <w:bottom w:val="single" w:color="auto" w:sz="4" w:space="0"/>
              <w:right w:val="single" w:color="auto" w:sz="4" w:space="0"/>
            </w:tcBorders>
            <w:noWrap w:val="0"/>
            <w:vAlign w:val="center"/>
          </w:tcPr>
          <w:p w14:paraId="61E3B7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4</w:t>
            </w:r>
          </w:p>
        </w:tc>
      </w:tr>
      <w:tr w14:paraId="67F4A5CB">
        <w:tblPrEx>
          <w:tblCellMar>
            <w:top w:w="0" w:type="dxa"/>
            <w:left w:w="108" w:type="dxa"/>
            <w:bottom w:w="0" w:type="dxa"/>
            <w:right w:w="108" w:type="dxa"/>
          </w:tblCellMar>
        </w:tblPrEx>
        <w:trPr>
          <w:trHeight w:val="348" w:hRule="atLeast"/>
          <w:jc w:val="center"/>
        </w:trPr>
        <w:tc>
          <w:tcPr>
            <w:tcW w:w="785" w:type="dxa"/>
            <w:vMerge w:val="continue"/>
            <w:tcBorders>
              <w:top w:val="nil"/>
              <w:left w:val="single" w:color="auto" w:sz="4" w:space="0"/>
              <w:bottom w:val="single" w:color="auto" w:sz="4" w:space="0"/>
              <w:right w:val="single" w:color="auto" w:sz="4" w:space="0"/>
            </w:tcBorders>
            <w:noWrap w:val="0"/>
            <w:vAlign w:val="center"/>
          </w:tcPr>
          <w:p w14:paraId="55556BC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824" w:type="dxa"/>
            <w:vMerge w:val="restart"/>
            <w:tcBorders>
              <w:top w:val="nil"/>
              <w:left w:val="single" w:color="auto" w:sz="4" w:space="0"/>
              <w:bottom w:val="single" w:color="auto" w:sz="4" w:space="0"/>
              <w:right w:val="single" w:color="auto" w:sz="4" w:space="0"/>
            </w:tcBorders>
            <w:noWrap w:val="0"/>
            <w:vAlign w:val="center"/>
          </w:tcPr>
          <w:p w14:paraId="4694DA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创新</w:t>
            </w:r>
          </w:p>
          <w:p w14:paraId="7702A74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效益</w:t>
            </w:r>
          </w:p>
        </w:tc>
        <w:tc>
          <w:tcPr>
            <w:tcW w:w="541" w:type="dxa"/>
            <w:vMerge w:val="restart"/>
            <w:tcBorders>
              <w:top w:val="nil"/>
              <w:left w:val="single" w:color="auto" w:sz="4" w:space="0"/>
              <w:bottom w:val="single" w:color="auto" w:sz="4" w:space="0"/>
              <w:right w:val="single" w:color="auto" w:sz="4" w:space="0"/>
            </w:tcBorders>
            <w:noWrap w:val="0"/>
            <w:vAlign w:val="center"/>
          </w:tcPr>
          <w:p w14:paraId="3BCC81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25</w:t>
            </w:r>
          </w:p>
        </w:tc>
        <w:tc>
          <w:tcPr>
            <w:tcW w:w="3764" w:type="dxa"/>
            <w:tcBorders>
              <w:top w:val="nil"/>
              <w:left w:val="nil"/>
              <w:bottom w:val="single" w:color="auto" w:sz="4" w:space="0"/>
              <w:right w:val="single" w:color="auto" w:sz="4" w:space="0"/>
            </w:tcBorders>
            <w:noWrap w:val="0"/>
            <w:vAlign w:val="center"/>
          </w:tcPr>
          <w:p w14:paraId="6460B980">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新产品销售收入占主营业务收入的比重</w:t>
            </w:r>
          </w:p>
        </w:tc>
        <w:tc>
          <w:tcPr>
            <w:tcW w:w="828" w:type="dxa"/>
            <w:tcBorders>
              <w:top w:val="nil"/>
              <w:left w:val="nil"/>
              <w:bottom w:val="single" w:color="auto" w:sz="4" w:space="0"/>
              <w:right w:val="single" w:color="auto" w:sz="4" w:space="0"/>
            </w:tcBorders>
            <w:noWrap w:val="0"/>
            <w:vAlign w:val="center"/>
          </w:tcPr>
          <w:p w14:paraId="2932CB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w:t>
            </w:r>
          </w:p>
        </w:tc>
        <w:tc>
          <w:tcPr>
            <w:tcW w:w="800" w:type="dxa"/>
            <w:tcBorders>
              <w:top w:val="nil"/>
              <w:left w:val="nil"/>
              <w:bottom w:val="single" w:color="auto" w:sz="4" w:space="0"/>
              <w:right w:val="single" w:color="auto" w:sz="4" w:space="0"/>
            </w:tcBorders>
            <w:noWrap w:val="0"/>
            <w:vAlign w:val="center"/>
          </w:tcPr>
          <w:p w14:paraId="4D038C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r>
      <w:tr w14:paraId="43E2A3A5">
        <w:tblPrEx>
          <w:tblCellMar>
            <w:top w:w="0" w:type="dxa"/>
            <w:left w:w="108" w:type="dxa"/>
            <w:bottom w:w="0" w:type="dxa"/>
            <w:right w:w="108" w:type="dxa"/>
          </w:tblCellMar>
        </w:tblPrEx>
        <w:trPr>
          <w:trHeight w:val="696" w:hRule="atLeast"/>
          <w:jc w:val="center"/>
        </w:trPr>
        <w:tc>
          <w:tcPr>
            <w:tcW w:w="785" w:type="dxa"/>
            <w:vMerge w:val="continue"/>
            <w:tcBorders>
              <w:top w:val="nil"/>
              <w:left w:val="single" w:color="auto" w:sz="4" w:space="0"/>
              <w:bottom w:val="single" w:color="auto" w:sz="4" w:space="0"/>
              <w:right w:val="single" w:color="auto" w:sz="4" w:space="0"/>
            </w:tcBorders>
            <w:noWrap w:val="0"/>
            <w:vAlign w:val="center"/>
          </w:tcPr>
          <w:p w14:paraId="7B16858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824" w:type="dxa"/>
            <w:vMerge w:val="continue"/>
            <w:tcBorders>
              <w:top w:val="nil"/>
              <w:left w:val="single" w:color="auto" w:sz="4" w:space="0"/>
              <w:bottom w:val="single" w:color="auto" w:sz="4" w:space="0"/>
              <w:right w:val="single" w:color="auto" w:sz="4" w:space="0"/>
            </w:tcBorders>
            <w:noWrap w:val="0"/>
            <w:vAlign w:val="center"/>
          </w:tcPr>
          <w:p w14:paraId="6B8465B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541" w:type="dxa"/>
            <w:vMerge w:val="continue"/>
            <w:tcBorders>
              <w:top w:val="nil"/>
              <w:left w:val="single" w:color="auto" w:sz="4" w:space="0"/>
              <w:bottom w:val="single" w:color="auto" w:sz="4" w:space="0"/>
              <w:right w:val="single" w:color="auto" w:sz="4" w:space="0"/>
            </w:tcBorders>
            <w:noWrap w:val="0"/>
            <w:vAlign w:val="center"/>
          </w:tcPr>
          <w:p w14:paraId="5F50434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3764" w:type="dxa"/>
            <w:tcBorders>
              <w:top w:val="nil"/>
              <w:left w:val="nil"/>
              <w:bottom w:val="single" w:color="auto" w:sz="4" w:space="0"/>
              <w:right w:val="single" w:color="auto" w:sz="4" w:space="0"/>
            </w:tcBorders>
            <w:noWrap w:val="0"/>
            <w:vAlign w:val="center"/>
          </w:tcPr>
          <w:p w14:paraId="54592D30">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新产品销售利润占利润总额的比重</w:t>
            </w:r>
          </w:p>
        </w:tc>
        <w:tc>
          <w:tcPr>
            <w:tcW w:w="828" w:type="dxa"/>
            <w:tcBorders>
              <w:top w:val="nil"/>
              <w:left w:val="nil"/>
              <w:bottom w:val="single" w:color="auto" w:sz="4" w:space="0"/>
              <w:right w:val="single" w:color="auto" w:sz="4" w:space="0"/>
            </w:tcBorders>
            <w:noWrap w:val="0"/>
            <w:vAlign w:val="center"/>
          </w:tcPr>
          <w:p w14:paraId="71B389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w:t>
            </w:r>
          </w:p>
        </w:tc>
        <w:tc>
          <w:tcPr>
            <w:tcW w:w="800" w:type="dxa"/>
            <w:tcBorders>
              <w:top w:val="nil"/>
              <w:left w:val="nil"/>
              <w:bottom w:val="single" w:color="auto" w:sz="4" w:space="0"/>
              <w:right w:val="single" w:color="auto" w:sz="4" w:space="0"/>
            </w:tcBorders>
            <w:noWrap w:val="0"/>
            <w:vAlign w:val="center"/>
          </w:tcPr>
          <w:p w14:paraId="658BDED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r>
      <w:tr w14:paraId="328791A2">
        <w:tblPrEx>
          <w:tblCellMar>
            <w:top w:w="0" w:type="dxa"/>
            <w:left w:w="108" w:type="dxa"/>
            <w:bottom w:w="0" w:type="dxa"/>
            <w:right w:w="108" w:type="dxa"/>
          </w:tblCellMar>
        </w:tblPrEx>
        <w:trPr>
          <w:trHeight w:val="348" w:hRule="atLeast"/>
          <w:jc w:val="center"/>
        </w:trPr>
        <w:tc>
          <w:tcPr>
            <w:tcW w:w="785" w:type="dxa"/>
            <w:vMerge w:val="continue"/>
            <w:tcBorders>
              <w:top w:val="nil"/>
              <w:left w:val="single" w:color="auto" w:sz="4" w:space="0"/>
              <w:bottom w:val="single" w:color="auto" w:sz="4" w:space="0"/>
              <w:right w:val="single" w:color="auto" w:sz="4" w:space="0"/>
            </w:tcBorders>
            <w:noWrap w:val="0"/>
            <w:vAlign w:val="center"/>
          </w:tcPr>
          <w:p w14:paraId="5D16744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824" w:type="dxa"/>
            <w:vMerge w:val="continue"/>
            <w:tcBorders>
              <w:top w:val="nil"/>
              <w:left w:val="single" w:color="auto" w:sz="4" w:space="0"/>
              <w:bottom w:val="single" w:color="auto" w:sz="4" w:space="0"/>
              <w:right w:val="single" w:color="auto" w:sz="4" w:space="0"/>
            </w:tcBorders>
            <w:noWrap w:val="0"/>
            <w:vAlign w:val="center"/>
          </w:tcPr>
          <w:p w14:paraId="3BE75F1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541" w:type="dxa"/>
            <w:vMerge w:val="continue"/>
            <w:tcBorders>
              <w:top w:val="nil"/>
              <w:left w:val="single" w:color="auto" w:sz="4" w:space="0"/>
              <w:bottom w:val="single" w:color="auto" w:sz="4" w:space="0"/>
              <w:right w:val="single" w:color="auto" w:sz="4" w:space="0"/>
            </w:tcBorders>
            <w:noWrap w:val="0"/>
            <w:vAlign w:val="center"/>
          </w:tcPr>
          <w:p w14:paraId="4A062A9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3764" w:type="dxa"/>
            <w:tcBorders>
              <w:top w:val="nil"/>
              <w:left w:val="nil"/>
              <w:bottom w:val="single" w:color="auto" w:sz="4" w:space="0"/>
              <w:right w:val="single" w:color="auto" w:sz="4" w:space="0"/>
            </w:tcBorders>
            <w:noWrap w:val="0"/>
            <w:vAlign w:val="center"/>
          </w:tcPr>
          <w:p w14:paraId="0C893A71">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利润率</w:t>
            </w:r>
          </w:p>
        </w:tc>
        <w:tc>
          <w:tcPr>
            <w:tcW w:w="828" w:type="dxa"/>
            <w:tcBorders>
              <w:top w:val="nil"/>
              <w:left w:val="nil"/>
              <w:bottom w:val="single" w:color="auto" w:sz="4" w:space="0"/>
              <w:right w:val="single" w:color="auto" w:sz="4" w:space="0"/>
            </w:tcBorders>
            <w:noWrap w:val="0"/>
            <w:vAlign w:val="center"/>
          </w:tcPr>
          <w:p w14:paraId="289F6D5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w:t>
            </w:r>
          </w:p>
        </w:tc>
        <w:tc>
          <w:tcPr>
            <w:tcW w:w="800" w:type="dxa"/>
            <w:tcBorders>
              <w:top w:val="nil"/>
              <w:left w:val="nil"/>
              <w:bottom w:val="single" w:color="auto" w:sz="4" w:space="0"/>
              <w:right w:val="single" w:color="auto" w:sz="4" w:space="0"/>
            </w:tcBorders>
            <w:noWrap w:val="0"/>
            <w:vAlign w:val="center"/>
          </w:tcPr>
          <w:p w14:paraId="0FDD97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5</w:t>
            </w:r>
          </w:p>
        </w:tc>
      </w:tr>
      <w:tr w14:paraId="09092D54">
        <w:tblPrEx>
          <w:tblCellMar>
            <w:top w:w="0" w:type="dxa"/>
            <w:left w:w="108" w:type="dxa"/>
            <w:bottom w:w="0" w:type="dxa"/>
            <w:right w:w="108" w:type="dxa"/>
          </w:tblCellMar>
        </w:tblPrEx>
        <w:trPr>
          <w:trHeight w:val="348"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14:paraId="629008C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加分</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7F12AF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加分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3FE69CA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000000"/>
                <w:kern w:val="0"/>
                <w:sz w:val="24"/>
                <w:szCs w:val="24"/>
              </w:rPr>
            </w:pPr>
          </w:p>
        </w:tc>
        <w:tc>
          <w:tcPr>
            <w:tcW w:w="3764" w:type="dxa"/>
            <w:tcBorders>
              <w:top w:val="single" w:color="auto" w:sz="4" w:space="0"/>
              <w:left w:val="nil"/>
              <w:bottom w:val="single" w:color="auto" w:sz="4" w:space="0"/>
              <w:right w:val="single" w:color="auto" w:sz="4" w:space="0"/>
            </w:tcBorders>
            <w:noWrap w:val="0"/>
            <w:vAlign w:val="center"/>
          </w:tcPr>
          <w:p w14:paraId="3878273A">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获国家自然科学、技术发明、科技进步奖项目数</w:t>
            </w:r>
          </w:p>
        </w:tc>
        <w:tc>
          <w:tcPr>
            <w:tcW w:w="828" w:type="dxa"/>
            <w:tcBorders>
              <w:top w:val="single" w:color="auto" w:sz="4" w:space="0"/>
              <w:left w:val="nil"/>
              <w:bottom w:val="single" w:color="auto" w:sz="4" w:space="0"/>
              <w:right w:val="single" w:color="auto" w:sz="4" w:space="0"/>
            </w:tcBorders>
            <w:noWrap w:val="0"/>
            <w:vAlign w:val="center"/>
          </w:tcPr>
          <w:p w14:paraId="29CC462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w:t>
            </w:r>
          </w:p>
        </w:tc>
        <w:tc>
          <w:tcPr>
            <w:tcW w:w="800" w:type="dxa"/>
            <w:tcBorders>
              <w:top w:val="single" w:color="auto" w:sz="4" w:space="0"/>
              <w:left w:val="nil"/>
              <w:bottom w:val="single" w:color="auto" w:sz="4" w:space="0"/>
              <w:right w:val="single" w:color="auto" w:sz="4" w:space="0"/>
            </w:tcBorders>
            <w:noWrap w:val="0"/>
            <w:vAlign w:val="center"/>
          </w:tcPr>
          <w:p w14:paraId="755612D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≤5</w:t>
            </w:r>
          </w:p>
        </w:tc>
      </w:tr>
    </w:tbl>
    <w:p w14:paraId="78FABA6A">
      <w:pPr>
        <w:tabs>
          <w:tab w:val="left" w:pos="900"/>
          <w:tab w:val="left" w:pos="1080"/>
        </w:tabs>
        <w:spacing w:line="588" w:lineRule="exact"/>
        <w:ind w:firstLine="477" w:firstLineChars="198"/>
        <w:rPr>
          <w:rFonts w:hint="eastAsia" w:ascii="Times New Roman" w:hAnsi="Times New Roman" w:eastAsia="仿宋_GB2312" w:cs="Times New Roman"/>
          <w:b/>
          <w:color w:val="000000"/>
          <w:sz w:val="24"/>
          <w:szCs w:val="24"/>
        </w:rPr>
      </w:pPr>
    </w:p>
    <w:p w14:paraId="79A2FF95">
      <w:pPr>
        <w:tabs>
          <w:tab w:val="left" w:pos="900"/>
          <w:tab w:val="left" w:pos="1080"/>
        </w:tabs>
        <w:spacing w:line="588" w:lineRule="exact"/>
        <w:ind w:firstLine="477" w:firstLineChars="198"/>
        <w:rPr>
          <w:rFonts w:hint="eastAsia" w:ascii="Times New Roman" w:hAnsi="Times New Roman" w:eastAsia="仿宋_GB2312" w:cs="Times New Roman"/>
          <w:b/>
          <w:color w:val="000000"/>
          <w:sz w:val="24"/>
          <w:szCs w:val="24"/>
        </w:rPr>
      </w:pPr>
    </w:p>
    <w:p w14:paraId="50F26489">
      <w:pPr>
        <w:keepNext w:val="0"/>
        <w:keepLines w:val="0"/>
        <w:pageBreakBefore w:val="0"/>
        <w:widowControl w:val="0"/>
        <w:tabs>
          <w:tab w:val="left" w:pos="900"/>
          <w:tab w:val="left" w:pos="1080"/>
        </w:tabs>
        <w:kinsoku/>
        <w:wordWrap/>
        <w:overflowPunct/>
        <w:topLinePunct w:val="0"/>
        <w:autoSpaceDE/>
        <w:autoSpaceDN/>
        <w:bidi w:val="0"/>
        <w:adjustRightInd w:val="0"/>
        <w:snapToGrid w:val="0"/>
        <w:spacing w:line="240" w:lineRule="auto"/>
        <w:ind w:firstLine="482" w:firstLineChars="200"/>
        <w:textAlignment w:val="auto"/>
        <w:rPr>
          <w:rFonts w:hint="eastAsia" w:ascii="Times New Roman" w:hAnsi="Times New Roman" w:eastAsia="仿宋_GB2312" w:cs="Times New Roman"/>
          <w:b/>
          <w:bCs/>
          <w:color w:val="000000"/>
          <w:sz w:val="24"/>
          <w:szCs w:val="24"/>
        </w:rPr>
      </w:pPr>
      <w:r>
        <w:rPr>
          <w:rFonts w:hint="eastAsia" w:ascii="方正仿宋_GBK" w:hAnsi="方正仿宋_GBK" w:eastAsia="方正仿宋_GBK" w:cs="方正仿宋_GBK"/>
          <w:b/>
          <w:bCs/>
          <w:color w:val="000000"/>
          <w:sz w:val="24"/>
          <w:szCs w:val="24"/>
        </w:rPr>
        <w:t>说明</w:t>
      </w:r>
      <w:r>
        <w:rPr>
          <w:rFonts w:hint="eastAsia" w:ascii="Times New Roman" w:hAnsi="Times New Roman" w:eastAsia="仿宋_GB2312" w:cs="Times New Roman"/>
          <w:b/>
          <w:bCs/>
          <w:color w:val="000000"/>
          <w:sz w:val="24"/>
          <w:szCs w:val="24"/>
        </w:rPr>
        <w:t>：</w:t>
      </w:r>
    </w:p>
    <w:p w14:paraId="103D1B1A">
      <w:pPr>
        <w:keepNext w:val="0"/>
        <w:keepLines w:val="0"/>
        <w:pageBreakBefore w:val="0"/>
        <w:widowControl w:val="0"/>
        <w:tabs>
          <w:tab w:val="left" w:pos="900"/>
          <w:tab w:val="left" w:pos="1080"/>
        </w:tabs>
        <w:kinsoku/>
        <w:wordWrap/>
        <w:overflowPunct/>
        <w:topLinePunct w:val="0"/>
        <w:autoSpaceDE/>
        <w:autoSpaceDN/>
        <w:bidi w:val="0"/>
        <w:adjustRightInd w:val="0"/>
        <w:snapToGrid w:val="0"/>
        <w:spacing w:line="240" w:lineRule="auto"/>
        <w:ind w:firstLine="480" w:firstLineChars="200"/>
        <w:textAlignment w:val="auto"/>
        <w:rPr>
          <w:rFonts w:hint="default" w:ascii="Times New Roman" w:hAnsi="Times New Roman" w:eastAsia="方正仿宋_GBK" w:cs="Times New Roman"/>
          <w:color w:val="000000"/>
          <w:sz w:val="24"/>
          <w:szCs w:val="24"/>
        </w:rPr>
      </w:pPr>
      <w:r>
        <w:rPr>
          <w:rFonts w:hint="eastAsia" w:ascii="Times New Roman" w:hAnsi="Times New Roman" w:eastAsia="仿宋_GB2312" w:cs="Times New Roman"/>
          <w:color w:val="000000"/>
          <w:sz w:val="24"/>
          <w:szCs w:val="24"/>
        </w:rPr>
        <w:t>1</w:t>
      </w:r>
      <w:r>
        <w:rPr>
          <w:rFonts w:hint="default" w:ascii="Times New Roman" w:hAnsi="Times New Roman" w:eastAsia="方正仿宋_GBK" w:cs="Times New Roman"/>
          <w:color w:val="000000"/>
          <w:sz w:val="24"/>
          <w:szCs w:val="24"/>
        </w:rPr>
        <w:t>．考虑到不同规模企业在研发投入强度上存在显著差异，对“研发经费支出占主营业务收入的比重”这一指标的基本要求按照企业规模划分为4档：主营业务收入500亿元及以上</w:t>
      </w:r>
      <w:bookmarkStart w:id="0" w:name="OLE_LINK1"/>
      <w:bookmarkStart w:id="1" w:name="OLE_LINK2"/>
      <w:r>
        <w:rPr>
          <w:rFonts w:hint="default" w:ascii="Times New Roman" w:hAnsi="Times New Roman" w:eastAsia="方正仿宋_GBK" w:cs="Times New Roman"/>
          <w:color w:val="000000"/>
          <w:sz w:val="24"/>
          <w:szCs w:val="24"/>
        </w:rPr>
        <w:t>的</w:t>
      </w:r>
      <w:bookmarkEnd w:id="0"/>
      <w:bookmarkEnd w:id="1"/>
      <w:r>
        <w:rPr>
          <w:rFonts w:hint="default" w:ascii="Times New Roman" w:hAnsi="Times New Roman" w:eastAsia="方正仿宋_GBK" w:cs="Times New Roman"/>
          <w:color w:val="000000"/>
          <w:sz w:val="24"/>
          <w:szCs w:val="24"/>
        </w:rPr>
        <w:t>企业为1.0%，主营业务收入100～500亿元（含100亿元）的企业为1.5%，主营业务收入10～100亿元（含10亿元）的企业为2.0%，主营业务收入10亿元以下的企业为3.0%。</w:t>
      </w:r>
    </w:p>
    <w:p w14:paraId="1AFA120D">
      <w:pPr>
        <w:keepNext w:val="0"/>
        <w:keepLines w:val="0"/>
        <w:pageBreakBefore w:val="0"/>
        <w:widowControl w:val="0"/>
        <w:tabs>
          <w:tab w:val="left" w:pos="900"/>
          <w:tab w:val="left" w:pos="1080"/>
        </w:tabs>
        <w:kinsoku/>
        <w:wordWrap/>
        <w:overflowPunct/>
        <w:topLinePunct w:val="0"/>
        <w:autoSpaceDE/>
        <w:autoSpaceDN/>
        <w:bidi w:val="0"/>
        <w:adjustRightInd w:val="0"/>
        <w:snapToGrid w:val="0"/>
        <w:spacing w:line="240" w:lineRule="auto"/>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2．企业作为主要完成单位或企业员工作为主要完成人获国家自然科学、技术发明、科技进步奖项目，特等奖每项加5分，一等奖每项加3分，二等奖每项加1分，累计不超过5分。</w:t>
      </w:r>
    </w:p>
    <w:p w14:paraId="15039DB5">
      <w:pPr>
        <w:spacing w:before="156" w:beforeLines="50" w:after="156" w:afterLines="50" w:line="560" w:lineRule="exact"/>
        <w:ind w:firstLine="600" w:firstLineChars="200"/>
        <w:outlineLvl w:val="1"/>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二、行业系数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4"/>
        <w:gridCol w:w="1476"/>
        <w:gridCol w:w="1622"/>
        <w:gridCol w:w="1622"/>
      </w:tblGrid>
      <w:tr w14:paraId="61CC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blHeader/>
          <w:jc w:val="center"/>
        </w:trPr>
        <w:tc>
          <w:tcPr>
            <w:tcW w:w="3514" w:type="dxa"/>
            <w:noWrap w:val="0"/>
            <w:vAlign w:val="center"/>
          </w:tcPr>
          <w:p w14:paraId="48C3E73D">
            <w:pPr>
              <w:widowControl/>
              <w:spacing w:line="240" w:lineRule="auto"/>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行业名称</w:t>
            </w:r>
          </w:p>
        </w:tc>
        <w:tc>
          <w:tcPr>
            <w:tcW w:w="1476" w:type="dxa"/>
            <w:noWrap w:val="0"/>
            <w:vAlign w:val="center"/>
          </w:tcPr>
          <w:p w14:paraId="47A45B15">
            <w:pPr>
              <w:spacing w:line="240" w:lineRule="auto"/>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研发经费支出占主营业务收入的比重</w:t>
            </w:r>
          </w:p>
        </w:tc>
        <w:tc>
          <w:tcPr>
            <w:tcW w:w="1622" w:type="dxa"/>
            <w:noWrap w:val="0"/>
            <w:vAlign w:val="center"/>
          </w:tcPr>
          <w:p w14:paraId="4B5CBF86">
            <w:pPr>
              <w:spacing w:line="240" w:lineRule="auto"/>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新产品销售收入占主营业务收入的比重</w:t>
            </w:r>
          </w:p>
        </w:tc>
        <w:tc>
          <w:tcPr>
            <w:tcW w:w="1622" w:type="dxa"/>
            <w:noWrap w:val="0"/>
            <w:vAlign w:val="center"/>
          </w:tcPr>
          <w:p w14:paraId="6F180D65">
            <w:pPr>
              <w:spacing w:line="240" w:lineRule="auto"/>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新产品销售利润占利润总额的比重</w:t>
            </w:r>
          </w:p>
        </w:tc>
      </w:tr>
      <w:tr w14:paraId="740B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4" w:type="dxa"/>
            <w:noWrap w:val="0"/>
            <w:vAlign w:val="center"/>
          </w:tcPr>
          <w:p w14:paraId="013D18A1">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农业</w:t>
            </w:r>
          </w:p>
        </w:tc>
        <w:tc>
          <w:tcPr>
            <w:tcW w:w="1476" w:type="dxa"/>
            <w:noWrap w:val="0"/>
            <w:vAlign w:val="center"/>
          </w:tcPr>
          <w:p w14:paraId="6471C49B">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1.5</w:t>
            </w:r>
          </w:p>
        </w:tc>
        <w:tc>
          <w:tcPr>
            <w:tcW w:w="1622" w:type="dxa"/>
            <w:noWrap w:val="0"/>
            <w:vAlign w:val="center"/>
          </w:tcPr>
          <w:p w14:paraId="125FB399">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1.5</w:t>
            </w:r>
          </w:p>
        </w:tc>
        <w:tc>
          <w:tcPr>
            <w:tcW w:w="1622" w:type="dxa"/>
            <w:noWrap w:val="0"/>
            <w:vAlign w:val="center"/>
          </w:tcPr>
          <w:p w14:paraId="232A8DFF">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1.5</w:t>
            </w:r>
          </w:p>
        </w:tc>
      </w:tr>
      <w:tr w14:paraId="153A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4" w:type="dxa"/>
            <w:noWrap w:val="0"/>
            <w:vAlign w:val="center"/>
          </w:tcPr>
          <w:p w14:paraId="76942D30">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煤炭开采和洗选业</w:t>
            </w:r>
          </w:p>
        </w:tc>
        <w:tc>
          <w:tcPr>
            <w:tcW w:w="1476" w:type="dxa"/>
            <w:noWrap w:val="0"/>
            <w:vAlign w:val="center"/>
          </w:tcPr>
          <w:p w14:paraId="5EB15D0A">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2.0</w:t>
            </w:r>
          </w:p>
        </w:tc>
        <w:tc>
          <w:tcPr>
            <w:tcW w:w="1622" w:type="dxa"/>
            <w:noWrap w:val="0"/>
            <w:vAlign w:val="center"/>
          </w:tcPr>
          <w:p w14:paraId="18035822">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3.0</w:t>
            </w:r>
          </w:p>
        </w:tc>
        <w:tc>
          <w:tcPr>
            <w:tcW w:w="1622" w:type="dxa"/>
            <w:noWrap w:val="0"/>
            <w:vAlign w:val="center"/>
          </w:tcPr>
          <w:p w14:paraId="7A14094D">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3.0</w:t>
            </w:r>
          </w:p>
        </w:tc>
      </w:tr>
      <w:tr w14:paraId="5160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4" w:type="dxa"/>
            <w:noWrap w:val="0"/>
            <w:vAlign w:val="center"/>
          </w:tcPr>
          <w:p w14:paraId="3D7256AE">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石油和天然气开采业</w:t>
            </w:r>
          </w:p>
        </w:tc>
        <w:tc>
          <w:tcPr>
            <w:tcW w:w="1476" w:type="dxa"/>
            <w:noWrap w:val="0"/>
            <w:vAlign w:val="center"/>
          </w:tcPr>
          <w:p w14:paraId="7B0B1123">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2.0</w:t>
            </w:r>
          </w:p>
        </w:tc>
        <w:tc>
          <w:tcPr>
            <w:tcW w:w="1622" w:type="dxa"/>
            <w:noWrap w:val="0"/>
            <w:vAlign w:val="center"/>
          </w:tcPr>
          <w:p w14:paraId="4E86B509">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3.0</w:t>
            </w:r>
          </w:p>
        </w:tc>
        <w:tc>
          <w:tcPr>
            <w:tcW w:w="1622" w:type="dxa"/>
            <w:noWrap w:val="0"/>
            <w:vAlign w:val="center"/>
          </w:tcPr>
          <w:p w14:paraId="4BCE73C1">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3.0</w:t>
            </w:r>
          </w:p>
        </w:tc>
      </w:tr>
      <w:tr w14:paraId="2040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4" w:type="dxa"/>
            <w:noWrap w:val="0"/>
            <w:vAlign w:val="center"/>
          </w:tcPr>
          <w:p w14:paraId="545FF595">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有色金属矿采选业</w:t>
            </w:r>
          </w:p>
        </w:tc>
        <w:tc>
          <w:tcPr>
            <w:tcW w:w="1476" w:type="dxa"/>
            <w:noWrap w:val="0"/>
            <w:vAlign w:val="center"/>
          </w:tcPr>
          <w:p w14:paraId="612C9140">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2.0</w:t>
            </w:r>
          </w:p>
        </w:tc>
        <w:tc>
          <w:tcPr>
            <w:tcW w:w="1622" w:type="dxa"/>
            <w:noWrap w:val="0"/>
            <w:vAlign w:val="center"/>
          </w:tcPr>
          <w:p w14:paraId="5B1E9C32">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3.0</w:t>
            </w:r>
          </w:p>
        </w:tc>
        <w:tc>
          <w:tcPr>
            <w:tcW w:w="1622" w:type="dxa"/>
            <w:noWrap w:val="0"/>
            <w:vAlign w:val="center"/>
          </w:tcPr>
          <w:p w14:paraId="0C35A5BB">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3.0</w:t>
            </w:r>
          </w:p>
        </w:tc>
      </w:tr>
      <w:tr w14:paraId="1020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4" w:type="dxa"/>
            <w:noWrap w:val="0"/>
            <w:vAlign w:val="center"/>
          </w:tcPr>
          <w:p w14:paraId="71027F7D">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农副食品加工业</w:t>
            </w:r>
          </w:p>
        </w:tc>
        <w:tc>
          <w:tcPr>
            <w:tcW w:w="1476" w:type="dxa"/>
            <w:noWrap w:val="0"/>
            <w:vAlign w:val="center"/>
          </w:tcPr>
          <w:p w14:paraId="0BC114EB">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1.5</w:t>
            </w:r>
          </w:p>
        </w:tc>
        <w:tc>
          <w:tcPr>
            <w:tcW w:w="1622" w:type="dxa"/>
            <w:noWrap w:val="0"/>
            <w:vAlign w:val="center"/>
          </w:tcPr>
          <w:p w14:paraId="02B34922">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1.5</w:t>
            </w:r>
          </w:p>
        </w:tc>
        <w:tc>
          <w:tcPr>
            <w:tcW w:w="1622" w:type="dxa"/>
            <w:noWrap w:val="0"/>
            <w:vAlign w:val="center"/>
          </w:tcPr>
          <w:p w14:paraId="75F25A6A">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r>
      <w:tr w14:paraId="69A5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4" w:type="dxa"/>
            <w:noWrap w:val="0"/>
            <w:vAlign w:val="center"/>
          </w:tcPr>
          <w:p w14:paraId="1F94B481">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食品制造业</w:t>
            </w:r>
          </w:p>
        </w:tc>
        <w:tc>
          <w:tcPr>
            <w:tcW w:w="1476" w:type="dxa"/>
            <w:noWrap w:val="0"/>
            <w:vAlign w:val="center"/>
          </w:tcPr>
          <w:p w14:paraId="4FEE78A4">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1.5</w:t>
            </w:r>
          </w:p>
        </w:tc>
        <w:tc>
          <w:tcPr>
            <w:tcW w:w="1622" w:type="dxa"/>
            <w:noWrap w:val="0"/>
            <w:vAlign w:val="center"/>
          </w:tcPr>
          <w:p w14:paraId="2282C643">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1.5</w:t>
            </w:r>
          </w:p>
        </w:tc>
        <w:tc>
          <w:tcPr>
            <w:tcW w:w="1622" w:type="dxa"/>
            <w:noWrap w:val="0"/>
            <w:vAlign w:val="center"/>
          </w:tcPr>
          <w:p w14:paraId="7D711B2F">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r>
      <w:tr w14:paraId="7319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514" w:type="dxa"/>
            <w:noWrap w:val="0"/>
            <w:vAlign w:val="center"/>
          </w:tcPr>
          <w:p w14:paraId="765C5B78">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酒、饮料和精制茶制造业</w:t>
            </w:r>
          </w:p>
        </w:tc>
        <w:tc>
          <w:tcPr>
            <w:tcW w:w="1476" w:type="dxa"/>
            <w:noWrap w:val="0"/>
            <w:vAlign w:val="center"/>
          </w:tcPr>
          <w:p w14:paraId="00DB7A08">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1.2</w:t>
            </w:r>
          </w:p>
        </w:tc>
        <w:tc>
          <w:tcPr>
            <w:tcW w:w="1622" w:type="dxa"/>
            <w:noWrap w:val="0"/>
            <w:vAlign w:val="center"/>
          </w:tcPr>
          <w:p w14:paraId="4094474B">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1.5</w:t>
            </w:r>
          </w:p>
        </w:tc>
        <w:tc>
          <w:tcPr>
            <w:tcW w:w="1622" w:type="dxa"/>
            <w:noWrap w:val="0"/>
            <w:vAlign w:val="center"/>
          </w:tcPr>
          <w:p w14:paraId="404E4C85">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1.5</w:t>
            </w:r>
          </w:p>
        </w:tc>
      </w:tr>
      <w:tr w14:paraId="51E4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4" w:type="dxa"/>
            <w:noWrap w:val="0"/>
            <w:vAlign w:val="center"/>
          </w:tcPr>
          <w:p w14:paraId="6419D287">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烟草制品业</w:t>
            </w:r>
          </w:p>
        </w:tc>
        <w:tc>
          <w:tcPr>
            <w:tcW w:w="1476" w:type="dxa"/>
            <w:noWrap w:val="0"/>
            <w:vAlign w:val="center"/>
          </w:tcPr>
          <w:p w14:paraId="799CCBBA">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3.0</w:t>
            </w:r>
          </w:p>
        </w:tc>
        <w:tc>
          <w:tcPr>
            <w:tcW w:w="1622" w:type="dxa"/>
            <w:noWrap w:val="0"/>
            <w:vAlign w:val="center"/>
          </w:tcPr>
          <w:p w14:paraId="50F6ABD4">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1.5</w:t>
            </w:r>
          </w:p>
        </w:tc>
        <w:tc>
          <w:tcPr>
            <w:tcW w:w="1622" w:type="dxa"/>
            <w:noWrap w:val="0"/>
            <w:vAlign w:val="center"/>
          </w:tcPr>
          <w:p w14:paraId="0368C4FA">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2.0</w:t>
            </w:r>
          </w:p>
        </w:tc>
      </w:tr>
      <w:tr w14:paraId="4B6B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514" w:type="dxa"/>
            <w:noWrap w:val="0"/>
            <w:vAlign w:val="center"/>
          </w:tcPr>
          <w:p w14:paraId="0AD89D09">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纺织业</w:t>
            </w:r>
          </w:p>
        </w:tc>
        <w:tc>
          <w:tcPr>
            <w:tcW w:w="1476" w:type="dxa"/>
            <w:noWrap w:val="0"/>
            <w:vAlign w:val="center"/>
          </w:tcPr>
          <w:p w14:paraId="5947320E">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1.2</w:t>
            </w:r>
          </w:p>
        </w:tc>
        <w:tc>
          <w:tcPr>
            <w:tcW w:w="1622" w:type="dxa"/>
            <w:noWrap w:val="0"/>
            <w:vAlign w:val="center"/>
          </w:tcPr>
          <w:p w14:paraId="0D818916">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c>
          <w:tcPr>
            <w:tcW w:w="1622" w:type="dxa"/>
            <w:noWrap w:val="0"/>
            <w:vAlign w:val="center"/>
          </w:tcPr>
          <w:p w14:paraId="4CBC2DB9">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r>
      <w:tr w14:paraId="7B81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4" w:type="dxa"/>
            <w:noWrap w:val="0"/>
            <w:vAlign w:val="center"/>
          </w:tcPr>
          <w:p w14:paraId="4F420EDB">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纺织服装、服饰业</w:t>
            </w:r>
          </w:p>
        </w:tc>
        <w:tc>
          <w:tcPr>
            <w:tcW w:w="1476" w:type="dxa"/>
            <w:noWrap w:val="0"/>
            <w:vAlign w:val="center"/>
          </w:tcPr>
          <w:p w14:paraId="0CDD1365">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1.2</w:t>
            </w:r>
          </w:p>
        </w:tc>
        <w:tc>
          <w:tcPr>
            <w:tcW w:w="1622" w:type="dxa"/>
            <w:noWrap w:val="0"/>
            <w:vAlign w:val="center"/>
          </w:tcPr>
          <w:p w14:paraId="77CFAE4F">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c>
          <w:tcPr>
            <w:tcW w:w="1622" w:type="dxa"/>
            <w:noWrap w:val="0"/>
            <w:vAlign w:val="center"/>
          </w:tcPr>
          <w:p w14:paraId="0D4F5C6B">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r>
      <w:tr w14:paraId="4BF8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514" w:type="dxa"/>
            <w:noWrap w:val="0"/>
            <w:vAlign w:val="center"/>
          </w:tcPr>
          <w:p w14:paraId="1EB74B06">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皮革、毛皮、羽毛及其制品和制鞋业</w:t>
            </w:r>
          </w:p>
        </w:tc>
        <w:tc>
          <w:tcPr>
            <w:tcW w:w="1476" w:type="dxa"/>
            <w:noWrap w:val="0"/>
            <w:vAlign w:val="center"/>
          </w:tcPr>
          <w:p w14:paraId="2ED49CC4">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1.5</w:t>
            </w:r>
          </w:p>
        </w:tc>
        <w:tc>
          <w:tcPr>
            <w:tcW w:w="1622" w:type="dxa"/>
            <w:noWrap w:val="0"/>
            <w:vAlign w:val="center"/>
          </w:tcPr>
          <w:p w14:paraId="147F50C9">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1.2</w:t>
            </w:r>
          </w:p>
        </w:tc>
        <w:tc>
          <w:tcPr>
            <w:tcW w:w="1622" w:type="dxa"/>
            <w:noWrap w:val="0"/>
            <w:vAlign w:val="center"/>
          </w:tcPr>
          <w:p w14:paraId="1A9CBF7F">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r>
      <w:tr w14:paraId="1733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514" w:type="dxa"/>
            <w:noWrap w:val="0"/>
            <w:vAlign w:val="center"/>
          </w:tcPr>
          <w:p w14:paraId="4EF46A88">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木材加工和木、竹、藤、棕、草制品业</w:t>
            </w:r>
          </w:p>
        </w:tc>
        <w:tc>
          <w:tcPr>
            <w:tcW w:w="1476" w:type="dxa"/>
            <w:noWrap w:val="0"/>
            <w:vAlign w:val="center"/>
          </w:tcPr>
          <w:p w14:paraId="06018D92">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c>
          <w:tcPr>
            <w:tcW w:w="1622" w:type="dxa"/>
            <w:noWrap w:val="0"/>
            <w:vAlign w:val="center"/>
          </w:tcPr>
          <w:p w14:paraId="1BBB61A6">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1.5</w:t>
            </w:r>
          </w:p>
        </w:tc>
        <w:tc>
          <w:tcPr>
            <w:tcW w:w="1622" w:type="dxa"/>
            <w:noWrap w:val="0"/>
            <w:vAlign w:val="center"/>
          </w:tcPr>
          <w:p w14:paraId="5F55C9B7">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1.2</w:t>
            </w:r>
          </w:p>
        </w:tc>
      </w:tr>
      <w:tr w14:paraId="41A2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4" w:type="dxa"/>
            <w:noWrap w:val="0"/>
            <w:vAlign w:val="center"/>
          </w:tcPr>
          <w:p w14:paraId="090D78A4">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家具制造业</w:t>
            </w:r>
          </w:p>
        </w:tc>
        <w:tc>
          <w:tcPr>
            <w:tcW w:w="1476" w:type="dxa"/>
            <w:noWrap w:val="0"/>
            <w:vAlign w:val="center"/>
          </w:tcPr>
          <w:p w14:paraId="19A5B1C6">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1.2</w:t>
            </w:r>
          </w:p>
        </w:tc>
        <w:tc>
          <w:tcPr>
            <w:tcW w:w="1622" w:type="dxa"/>
            <w:noWrap w:val="0"/>
            <w:vAlign w:val="center"/>
          </w:tcPr>
          <w:p w14:paraId="372D44E0">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c>
          <w:tcPr>
            <w:tcW w:w="1622" w:type="dxa"/>
            <w:noWrap w:val="0"/>
            <w:vAlign w:val="center"/>
          </w:tcPr>
          <w:p w14:paraId="489CFC9C">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r>
      <w:tr w14:paraId="547C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4" w:type="dxa"/>
            <w:noWrap w:val="0"/>
            <w:vAlign w:val="center"/>
          </w:tcPr>
          <w:p w14:paraId="1E469672">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造纸和纸制品业</w:t>
            </w:r>
          </w:p>
        </w:tc>
        <w:tc>
          <w:tcPr>
            <w:tcW w:w="1476" w:type="dxa"/>
            <w:noWrap w:val="0"/>
            <w:vAlign w:val="center"/>
          </w:tcPr>
          <w:p w14:paraId="2028E7D6">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c>
          <w:tcPr>
            <w:tcW w:w="1622" w:type="dxa"/>
            <w:noWrap w:val="0"/>
            <w:vAlign w:val="center"/>
          </w:tcPr>
          <w:p w14:paraId="7EC2AE06">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c>
          <w:tcPr>
            <w:tcW w:w="1622" w:type="dxa"/>
            <w:noWrap w:val="0"/>
            <w:vAlign w:val="center"/>
          </w:tcPr>
          <w:p w14:paraId="61585511">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r>
      <w:tr w14:paraId="706F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4" w:type="dxa"/>
            <w:noWrap w:val="0"/>
            <w:vAlign w:val="center"/>
          </w:tcPr>
          <w:p w14:paraId="27E5F597">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印刷和记录媒介复制业</w:t>
            </w:r>
          </w:p>
        </w:tc>
        <w:tc>
          <w:tcPr>
            <w:tcW w:w="1476" w:type="dxa"/>
            <w:noWrap w:val="0"/>
            <w:vAlign w:val="center"/>
          </w:tcPr>
          <w:p w14:paraId="39182429">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c>
          <w:tcPr>
            <w:tcW w:w="1622" w:type="dxa"/>
            <w:noWrap w:val="0"/>
            <w:vAlign w:val="center"/>
          </w:tcPr>
          <w:p w14:paraId="0C223A1E">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c>
          <w:tcPr>
            <w:tcW w:w="1622" w:type="dxa"/>
            <w:noWrap w:val="0"/>
            <w:vAlign w:val="center"/>
          </w:tcPr>
          <w:p w14:paraId="5D278FC8">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1.2</w:t>
            </w:r>
          </w:p>
        </w:tc>
      </w:tr>
      <w:tr w14:paraId="64F4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514" w:type="dxa"/>
            <w:noWrap w:val="0"/>
            <w:vAlign w:val="center"/>
          </w:tcPr>
          <w:p w14:paraId="59D8E508">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文教、工美、体育和娱乐用品制造业</w:t>
            </w:r>
          </w:p>
        </w:tc>
        <w:tc>
          <w:tcPr>
            <w:tcW w:w="1476" w:type="dxa"/>
            <w:noWrap w:val="0"/>
            <w:vAlign w:val="center"/>
          </w:tcPr>
          <w:p w14:paraId="3F29BF36">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1.5</w:t>
            </w:r>
          </w:p>
        </w:tc>
        <w:tc>
          <w:tcPr>
            <w:tcW w:w="1622" w:type="dxa"/>
            <w:noWrap w:val="0"/>
            <w:vAlign w:val="center"/>
          </w:tcPr>
          <w:p w14:paraId="2D1B0921">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1.2</w:t>
            </w:r>
          </w:p>
        </w:tc>
        <w:tc>
          <w:tcPr>
            <w:tcW w:w="1622" w:type="dxa"/>
            <w:noWrap w:val="0"/>
            <w:vAlign w:val="center"/>
          </w:tcPr>
          <w:p w14:paraId="5D01BA24">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1.2</w:t>
            </w:r>
          </w:p>
        </w:tc>
      </w:tr>
      <w:tr w14:paraId="36473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4" w:type="dxa"/>
            <w:noWrap w:val="0"/>
            <w:vAlign w:val="center"/>
          </w:tcPr>
          <w:p w14:paraId="7A2FFB35">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石油加工、炼焦和核燃料加工业</w:t>
            </w:r>
          </w:p>
        </w:tc>
        <w:tc>
          <w:tcPr>
            <w:tcW w:w="1476" w:type="dxa"/>
            <w:noWrap w:val="0"/>
            <w:vAlign w:val="center"/>
          </w:tcPr>
          <w:p w14:paraId="7767299F">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2.5</w:t>
            </w:r>
          </w:p>
        </w:tc>
        <w:tc>
          <w:tcPr>
            <w:tcW w:w="1622" w:type="dxa"/>
            <w:noWrap w:val="0"/>
            <w:vAlign w:val="center"/>
          </w:tcPr>
          <w:p w14:paraId="23DF95CE">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2.0</w:t>
            </w:r>
          </w:p>
        </w:tc>
        <w:tc>
          <w:tcPr>
            <w:tcW w:w="1622" w:type="dxa"/>
            <w:noWrap w:val="0"/>
            <w:vAlign w:val="center"/>
          </w:tcPr>
          <w:p w14:paraId="1638B957">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r>
      <w:tr w14:paraId="27D2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3514" w:type="dxa"/>
            <w:noWrap w:val="0"/>
            <w:vAlign w:val="center"/>
          </w:tcPr>
          <w:p w14:paraId="7814D59D">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化学原料和化学制品制造业</w:t>
            </w:r>
          </w:p>
        </w:tc>
        <w:tc>
          <w:tcPr>
            <w:tcW w:w="1476" w:type="dxa"/>
            <w:noWrap w:val="0"/>
            <w:vAlign w:val="center"/>
          </w:tcPr>
          <w:p w14:paraId="297D0CD4">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c>
          <w:tcPr>
            <w:tcW w:w="1622" w:type="dxa"/>
            <w:noWrap w:val="0"/>
            <w:vAlign w:val="center"/>
          </w:tcPr>
          <w:p w14:paraId="087BDF20">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c>
          <w:tcPr>
            <w:tcW w:w="1622" w:type="dxa"/>
            <w:noWrap w:val="0"/>
            <w:vAlign w:val="center"/>
          </w:tcPr>
          <w:p w14:paraId="248E9DDB">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r>
      <w:tr w14:paraId="7485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4" w:type="dxa"/>
            <w:noWrap w:val="0"/>
            <w:vAlign w:val="center"/>
          </w:tcPr>
          <w:p w14:paraId="3E1BCE99">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医药制造业</w:t>
            </w:r>
          </w:p>
        </w:tc>
        <w:tc>
          <w:tcPr>
            <w:tcW w:w="1476" w:type="dxa"/>
            <w:noWrap w:val="0"/>
            <w:vAlign w:val="center"/>
          </w:tcPr>
          <w:p w14:paraId="0C7DDEA9">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0.8</w:t>
            </w:r>
          </w:p>
        </w:tc>
        <w:tc>
          <w:tcPr>
            <w:tcW w:w="1622" w:type="dxa"/>
            <w:noWrap w:val="0"/>
            <w:vAlign w:val="center"/>
          </w:tcPr>
          <w:p w14:paraId="1D08B362">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0.8</w:t>
            </w:r>
          </w:p>
        </w:tc>
        <w:tc>
          <w:tcPr>
            <w:tcW w:w="1622" w:type="dxa"/>
            <w:noWrap w:val="0"/>
            <w:vAlign w:val="center"/>
          </w:tcPr>
          <w:p w14:paraId="56A3DFD5">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r>
      <w:tr w14:paraId="16A9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4" w:type="dxa"/>
            <w:noWrap w:val="0"/>
            <w:vAlign w:val="center"/>
          </w:tcPr>
          <w:p w14:paraId="11D98743">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化学纤维制造业</w:t>
            </w:r>
          </w:p>
        </w:tc>
        <w:tc>
          <w:tcPr>
            <w:tcW w:w="1476" w:type="dxa"/>
            <w:noWrap w:val="0"/>
            <w:vAlign w:val="center"/>
          </w:tcPr>
          <w:p w14:paraId="5F9EF238">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c>
          <w:tcPr>
            <w:tcW w:w="1622" w:type="dxa"/>
            <w:noWrap w:val="0"/>
            <w:vAlign w:val="center"/>
          </w:tcPr>
          <w:p w14:paraId="2CC00753">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c>
          <w:tcPr>
            <w:tcW w:w="1622" w:type="dxa"/>
            <w:noWrap w:val="0"/>
            <w:vAlign w:val="center"/>
          </w:tcPr>
          <w:p w14:paraId="6400E99F">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r>
      <w:tr w14:paraId="1C5D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4" w:type="dxa"/>
            <w:noWrap w:val="0"/>
            <w:vAlign w:val="center"/>
          </w:tcPr>
          <w:p w14:paraId="1C88AFCB">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橡胶和塑料制品业</w:t>
            </w:r>
          </w:p>
        </w:tc>
        <w:tc>
          <w:tcPr>
            <w:tcW w:w="1476" w:type="dxa"/>
            <w:noWrap w:val="0"/>
            <w:vAlign w:val="center"/>
          </w:tcPr>
          <w:p w14:paraId="2038D9EA">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c>
          <w:tcPr>
            <w:tcW w:w="1622" w:type="dxa"/>
            <w:noWrap w:val="0"/>
            <w:vAlign w:val="center"/>
          </w:tcPr>
          <w:p w14:paraId="2ACCEC88">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c>
          <w:tcPr>
            <w:tcW w:w="1622" w:type="dxa"/>
            <w:noWrap w:val="0"/>
            <w:vAlign w:val="center"/>
          </w:tcPr>
          <w:p w14:paraId="7A2D4932">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r>
      <w:tr w14:paraId="3319F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4" w:type="dxa"/>
            <w:noWrap w:val="0"/>
            <w:vAlign w:val="center"/>
          </w:tcPr>
          <w:p w14:paraId="44DA1870">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非金属矿物制品业</w:t>
            </w:r>
          </w:p>
        </w:tc>
        <w:tc>
          <w:tcPr>
            <w:tcW w:w="1476" w:type="dxa"/>
            <w:noWrap w:val="0"/>
            <w:vAlign w:val="center"/>
          </w:tcPr>
          <w:p w14:paraId="0190775C">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c>
          <w:tcPr>
            <w:tcW w:w="1622" w:type="dxa"/>
            <w:noWrap w:val="0"/>
            <w:vAlign w:val="center"/>
          </w:tcPr>
          <w:p w14:paraId="3DA0AB4A">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c>
          <w:tcPr>
            <w:tcW w:w="1622" w:type="dxa"/>
            <w:noWrap w:val="0"/>
            <w:vAlign w:val="center"/>
          </w:tcPr>
          <w:p w14:paraId="3124159F">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r>
      <w:tr w14:paraId="19E9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514" w:type="dxa"/>
            <w:noWrap w:val="0"/>
            <w:vAlign w:val="center"/>
          </w:tcPr>
          <w:p w14:paraId="06AD57F9">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黑色金属冶炼和压延加工业</w:t>
            </w:r>
          </w:p>
        </w:tc>
        <w:tc>
          <w:tcPr>
            <w:tcW w:w="1476" w:type="dxa"/>
            <w:noWrap w:val="0"/>
            <w:vAlign w:val="center"/>
          </w:tcPr>
          <w:p w14:paraId="506D7E07">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1.2</w:t>
            </w:r>
          </w:p>
        </w:tc>
        <w:tc>
          <w:tcPr>
            <w:tcW w:w="1622" w:type="dxa"/>
            <w:noWrap w:val="0"/>
            <w:vAlign w:val="center"/>
          </w:tcPr>
          <w:p w14:paraId="5392EDA1">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1.5</w:t>
            </w:r>
          </w:p>
        </w:tc>
        <w:tc>
          <w:tcPr>
            <w:tcW w:w="1622" w:type="dxa"/>
            <w:noWrap w:val="0"/>
            <w:vAlign w:val="center"/>
          </w:tcPr>
          <w:p w14:paraId="3F34FB3F">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1.5</w:t>
            </w:r>
          </w:p>
        </w:tc>
      </w:tr>
      <w:tr w14:paraId="10F8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514" w:type="dxa"/>
            <w:noWrap w:val="0"/>
            <w:vAlign w:val="center"/>
          </w:tcPr>
          <w:p w14:paraId="6FB9129D">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有色金属冶炼和压延加工业</w:t>
            </w:r>
          </w:p>
        </w:tc>
        <w:tc>
          <w:tcPr>
            <w:tcW w:w="1476" w:type="dxa"/>
            <w:noWrap w:val="0"/>
            <w:vAlign w:val="center"/>
          </w:tcPr>
          <w:p w14:paraId="488AC770">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1.2</w:t>
            </w:r>
          </w:p>
        </w:tc>
        <w:tc>
          <w:tcPr>
            <w:tcW w:w="1622" w:type="dxa"/>
            <w:noWrap w:val="0"/>
            <w:vAlign w:val="center"/>
          </w:tcPr>
          <w:p w14:paraId="1D038394">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1.2</w:t>
            </w:r>
          </w:p>
        </w:tc>
        <w:tc>
          <w:tcPr>
            <w:tcW w:w="1622" w:type="dxa"/>
            <w:noWrap w:val="0"/>
            <w:vAlign w:val="center"/>
          </w:tcPr>
          <w:p w14:paraId="0081C499">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r>
      <w:tr w14:paraId="0755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4" w:type="dxa"/>
            <w:noWrap w:val="0"/>
            <w:vAlign w:val="center"/>
          </w:tcPr>
          <w:p w14:paraId="6CE1B8CE">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金属制品业</w:t>
            </w:r>
          </w:p>
        </w:tc>
        <w:tc>
          <w:tcPr>
            <w:tcW w:w="1476" w:type="dxa"/>
            <w:noWrap w:val="0"/>
            <w:vAlign w:val="center"/>
          </w:tcPr>
          <w:p w14:paraId="2ECB2CE8">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c>
          <w:tcPr>
            <w:tcW w:w="1622" w:type="dxa"/>
            <w:noWrap w:val="0"/>
            <w:vAlign w:val="center"/>
          </w:tcPr>
          <w:p w14:paraId="71995610">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c>
          <w:tcPr>
            <w:tcW w:w="1622" w:type="dxa"/>
            <w:noWrap w:val="0"/>
            <w:vAlign w:val="center"/>
          </w:tcPr>
          <w:p w14:paraId="44D9A0AB">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r>
      <w:tr w14:paraId="2E39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514" w:type="dxa"/>
            <w:noWrap w:val="0"/>
            <w:vAlign w:val="center"/>
          </w:tcPr>
          <w:p w14:paraId="6F1E5D52">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通用设备制造业</w:t>
            </w:r>
          </w:p>
        </w:tc>
        <w:tc>
          <w:tcPr>
            <w:tcW w:w="1476" w:type="dxa"/>
            <w:noWrap w:val="0"/>
            <w:vAlign w:val="center"/>
          </w:tcPr>
          <w:p w14:paraId="55C6477B">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c>
          <w:tcPr>
            <w:tcW w:w="1622" w:type="dxa"/>
            <w:noWrap w:val="0"/>
            <w:vAlign w:val="center"/>
          </w:tcPr>
          <w:p w14:paraId="34031A91">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c>
          <w:tcPr>
            <w:tcW w:w="1622" w:type="dxa"/>
            <w:noWrap w:val="0"/>
            <w:vAlign w:val="center"/>
          </w:tcPr>
          <w:p w14:paraId="68B0FC70">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r>
      <w:tr w14:paraId="4077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4" w:type="dxa"/>
            <w:noWrap w:val="0"/>
            <w:vAlign w:val="center"/>
          </w:tcPr>
          <w:p w14:paraId="68B1285C">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专用设备制造业</w:t>
            </w:r>
          </w:p>
        </w:tc>
        <w:tc>
          <w:tcPr>
            <w:tcW w:w="1476" w:type="dxa"/>
            <w:noWrap w:val="0"/>
            <w:vAlign w:val="center"/>
          </w:tcPr>
          <w:p w14:paraId="144E66F8">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c>
          <w:tcPr>
            <w:tcW w:w="1622" w:type="dxa"/>
            <w:noWrap w:val="0"/>
            <w:vAlign w:val="center"/>
          </w:tcPr>
          <w:p w14:paraId="5CB36034">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c>
          <w:tcPr>
            <w:tcW w:w="1622" w:type="dxa"/>
            <w:noWrap w:val="0"/>
            <w:vAlign w:val="center"/>
          </w:tcPr>
          <w:p w14:paraId="1AF6F102">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r>
      <w:tr w14:paraId="7157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4" w:type="dxa"/>
            <w:noWrap w:val="0"/>
            <w:vAlign w:val="center"/>
          </w:tcPr>
          <w:p w14:paraId="63EB1FCF">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汽车制造业</w:t>
            </w:r>
          </w:p>
        </w:tc>
        <w:tc>
          <w:tcPr>
            <w:tcW w:w="1476" w:type="dxa"/>
            <w:noWrap w:val="0"/>
            <w:vAlign w:val="center"/>
          </w:tcPr>
          <w:p w14:paraId="25C8EB2F">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c>
          <w:tcPr>
            <w:tcW w:w="1622" w:type="dxa"/>
            <w:noWrap w:val="0"/>
            <w:vAlign w:val="center"/>
          </w:tcPr>
          <w:p w14:paraId="48F4DF35">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0.8</w:t>
            </w:r>
          </w:p>
        </w:tc>
        <w:tc>
          <w:tcPr>
            <w:tcW w:w="1622" w:type="dxa"/>
            <w:noWrap w:val="0"/>
            <w:vAlign w:val="center"/>
          </w:tcPr>
          <w:p w14:paraId="2EDFF402">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r>
      <w:tr w14:paraId="2CDE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514" w:type="dxa"/>
            <w:noWrap w:val="0"/>
            <w:vAlign w:val="center"/>
          </w:tcPr>
          <w:p w14:paraId="21F87C30">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铁路、船舶、航空航天和其他运输设备制造业</w:t>
            </w:r>
          </w:p>
        </w:tc>
        <w:tc>
          <w:tcPr>
            <w:tcW w:w="1476" w:type="dxa"/>
            <w:noWrap w:val="0"/>
            <w:vAlign w:val="center"/>
          </w:tcPr>
          <w:p w14:paraId="5A8572D6">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0.8</w:t>
            </w:r>
          </w:p>
        </w:tc>
        <w:tc>
          <w:tcPr>
            <w:tcW w:w="1622" w:type="dxa"/>
            <w:noWrap w:val="0"/>
            <w:vAlign w:val="center"/>
          </w:tcPr>
          <w:p w14:paraId="74ED3898">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0.8</w:t>
            </w:r>
          </w:p>
        </w:tc>
        <w:tc>
          <w:tcPr>
            <w:tcW w:w="1622" w:type="dxa"/>
            <w:noWrap w:val="0"/>
            <w:vAlign w:val="center"/>
          </w:tcPr>
          <w:p w14:paraId="24BDF0A1">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r>
      <w:tr w14:paraId="73D9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4" w:type="dxa"/>
            <w:noWrap w:val="0"/>
            <w:vAlign w:val="center"/>
          </w:tcPr>
          <w:p w14:paraId="2F88BD97">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电气机械和器材制造业</w:t>
            </w:r>
          </w:p>
        </w:tc>
        <w:tc>
          <w:tcPr>
            <w:tcW w:w="1476" w:type="dxa"/>
            <w:noWrap w:val="0"/>
            <w:vAlign w:val="center"/>
          </w:tcPr>
          <w:p w14:paraId="4E94977A">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0.8</w:t>
            </w:r>
          </w:p>
        </w:tc>
        <w:tc>
          <w:tcPr>
            <w:tcW w:w="1622" w:type="dxa"/>
            <w:noWrap w:val="0"/>
            <w:vAlign w:val="center"/>
          </w:tcPr>
          <w:p w14:paraId="04C4E400">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0.8</w:t>
            </w:r>
          </w:p>
        </w:tc>
        <w:tc>
          <w:tcPr>
            <w:tcW w:w="1622" w:type="dxa"/>
            <w:noWrap w:val="0"/>
            <w:vAlign w:val="center"/>
          </w:tcPr>
          <w:p w14:paraId="7B6F0206">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r>
      <w:tr w14:paraId="6981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514" w:type="dxa"/>
            <w:noWrap w:val="0"/>
            <w:vAlign w:val="center"/>
          </w:tcPr>
          <w:p w14:paraId="4BCDB7F5">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计算机、通信和其他电子设备制造业</w:t>
            </w:r>
          </w:p>
        </w:tc>
        <w:tc>
          <w:tcPr>
            <w:tcW w:w="1476" w:type="dxa"/>
            <w:noWrap w:val="0"/>
            <w:vAlign w:val="center"/>
          </w:tcPr>
          <w:p w14:paraId="3B8F7079">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0.8</w:t>
            </w:r>
          </w:p>
        </w:tc>
        <w:tc>
          <w:tcPr>
            <w:tcW w:w="1622" w:type="dxa"/>
            <w:noWrap w:val="0"/>
            <w:vAlign w:val="center"/>
          </w:tcPr>
          <w:p w14:paraId="16FB358F">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0.8</w:t>
            </w:r>
          </w:p>
        </w:tc>
        <w:tc>
          <w:tcPr>
            <w:tcW w:w="1622" w:type="dxa"/>
            <w:noWrap w:val="0"/>
            <w:vAlign w:val="center"/>
          </w:tcPr>
          <w:p w14:paraId="59F18E23">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0.8</w:t>
            </w:r>
          </w:p>
        </w:tc>
      </w:tr>
      <w:tr w14:paraId="2E13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4" w:type="dxa"/>
            <w:noWrap w:val="0"/>
            <w:vAlign w:val="center"/>
          </w:tcPr>
          <w:p w14:paraId="7EBC1F9C">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仪器仪表制造业</w:t>
            </w:r>
          </w:p>
        </w:tc>
        <w:tc>
          <w:tcPr>
            <w:tcW w:w="1476" w:type="dxa"/>
            <w:noWrap w:val="0"/>
            <w:vAlign w:val="center"/>
          </w:tcPr>
          <w:p w14:paraId="39613BA8">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0.8</w:t>
            </w:r>
          </w:p>
        </w:tc>
        <w:tc>
          <w:tcPr>
            <w:tcW w:w="1622" w:type="dxa"/>
            <w:noWrap w:val="0"/>
            <w:vAlign w:val="center"/>
          </w:tcPr>
          <w:p w14:paraId="1298DA83">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0.8</w:t>
            </w:r>
          </w:p>
        </w:tc>
        <w:tc>
          <w:tcPr>
            <w:tcW w:w="1622" w:type="dxa"/>
            <w:noWrap w:val="0"/>
            <w:vAlign w:val="center"/>
          </w:tcPr>
          <w:p w14:paraId="1536F797">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0.8</w:t>
            </w:r>
          </w:p>
        </w:tc>
      </w:tr>
      <w:tr w14:paraId="7D3A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4" w:type="dxa"/>
            <w:noWrap w:val="0"/>
            <w:vAlign w:val="center"/>
          </w:tcPr>
          <w:p w14:paraId="093CFD0D">
            <w:pPr>
              <w:widowControl/>
              <w:spacing w:line="240" w:lineRule="auto"/>
              <w:ind w:left="0" w:leftChars="0" w:firstLine="0" w:firstLineChars="0"/>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电力、热力生产和供应业</w:t>
            </w:r>
          </w:p>
        </w:tc>
        <w:tc>
          <w:tcPr>
            <w:tcW w:w="1476" w:type="dxa"/>
            <w:noWrap w:val="0"/>
            <w:vAlign w:val="center"/>
          </w:tcPr>
          <w:p w14:paraId="3116516F">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2.5</w:t>
            </w:r>
          </w:p>
        </w:tc>
        <w:tc>
          <w:tcPr>
            <w:tcW w:w="1622" w:type="dxa"/>
            <w:noWrap w:val="0"/>
            <w:vAlign w:val="center"/>
          </w:tcPr>
          <w:p w14:paraId="5AEE92D9">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3.0</w:t>
            </w:r>
          </w:p>
        </w:tc>
        <w:tc>
          <w:tcPr>
            <w:tcW w:w="1622" w:type="dxa"/>
            <w:noWrap w:val="0"/>
            <w:vAlign w:val="center"/>
          </w:tcPr>
          <w:p w14:paraId="0B767CB2">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3.0</w:t>
            </w:r>
          </w:p>
        </w:tc>
      </w:tr>
      <w:tr w14:paraId="3B7C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4" w:type="dxa"/>
            <w:noWrap w:val="0"/>
            <w:vAlign w:val="center"/>
          </w:tcPr>
          <w:p w14:paraId="07D5E6D5">
            <w:pPr>
              <w:widowControl/>
              <w:spacing w:line="240" w:lineRule="auto"/>
              <w:ind w:left="0" w:leftChars="0" w:firstLine="0" w:firstLineChars="0"/>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房屋建筑业</w:t>
            </w:r>
          </w:p>
        </w:tc>
        <w:tc>
          <w:tcPr>
            <w:tcW w:w="1476" w:type="dxa"/>
            <w:noWrap w:val="0"/>
            <w:vAlign w:val="center"/>
          </w:tcPr>
          <w:p w14:paraId="305D63A8">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2.0</w:t>
            </w:r>
          </w:p>
        </w:tc>
        <w:tc>
          <w:tcPr>
            <w:tcW w:w="1622" w:type="dxa"/>
            <w:noWrap w:val="0"/>
            <w:vAlign w:val="center"/>
          </w:tcPr>
          <w:p w14:paraId="10A83B1F">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1.5</w:t>
            </w:r>
          </w:p>
        </w:tc>
        <w:tc>
          <w:tcPr>
            <w:tcW w:w="1622" w:type="dxa"/>
            <w:noWrap w:val="0"/>
            <w:vAlign w:val="center"/>
          </w:tcPr>
          <w:p w14:paraId="702E7A4F">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1.5</w:t>
            </w:r>
          </w:p>
        </w:tc>
      </w:tr>
      <w:tr w14:paraId="77B0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4" w:type="dxa"/>
            <w:noWrap w:val="0"/>
            <w:vAlign w:val="center"/>
          </w:tcPr>
          <w:p w14:paraId="52ED10D8">
            <w:pPr>
              <w:widowControl/>
              <w:spacing w:line="240" w:lineRule="auto"/>
              <w:ind w:left="0" w:leftChars="0" w:firstLine="0" w:firstLineChars="0"/>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土木工程建筑业</w:t>
            </w:r>
          </w:p>
        </w:tc>
        <w:tc>
          <w:tcPr>
            <w:tcW w:w="1476" w:type="dxa"/>
            <w:noWrap w:val="0"/>
            <w:vAlign w:val="center"/>
          </w:tcPr>
          <w:p w14:paraId="3F9B34BE">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2.0</w:t>
            </w:r>
          </w:p>
        </w:tc>
        <w:tc>
          <w:tcPr>
            <w:tcW w:w="1622" w:type="dxa"/>
            <w:noWrap w:val="0"/>
            <w:vAlign w:val="center"/>
          </w:tcPr>
          <w:p w14:paraId="31BE35EF">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1.5</w:t>
            </w:r>
          </w:p>
        </w:tc>
        <w:tc>
          <w:tcPr>
            <w:tcW w:w="1622" w:type="dxa"/>
            <w:noWrap w:val="0"/>
            <w:vAlign w:val="center"/>
          </w:tcPr>
          <w:p w14:paraId="0CB397D1">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1.5</w:t>
            </w:r>
          </w:p>
        </w:tc>
      </w:tr>
      <w:tr w14:paraId="1DCC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4" w:type="dxa"/>
            <w:noWrap w:val="0"/>
            <w:vAlign w:val="center"/>
          </w:tcPr>
          <w:p w14:paraId="7BDE61AC">
            <w:pPr>
              <w:widowControl/>
              <w:spacing w:line="240" w:lineRule="auto"/>
              <w:ind w:left="0" w:leftChars="0" w:firstLine="0" w:firstLineChars="0"/>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建筑安装业</w:t>
            </w:r>
          </w:p>
        </w:tc>
        <w:tc>
          <w:tcPr>
            <w:tcW w:w="1476" w:type="dxa"/>
            <w:noWrap w:val="0"/>
            <w:vAlign w:val="center"/>
          </w:tcPr>
          <w:p w14:paraId="59194884">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2.0</w:t>
            </w:r>
          </w:p>
        </w:tc>
        <w:tc>
          <w:tcPr>
            <w:tcW w:w="1622" w:type="dxa"/>
            <w:noWrap w:val="0"/>
            <w:vAlign w:val="center"/>
          </w:tcPr>
          <w:p w14:paraId="416C87FF">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1.5</w:t>
            </w:r>
          </w:p>
        </w:tc>
        <w:tc>
          <w:tcPr>
            <w:tcW w:w="1622" w:type="dxa"/>
            <w:noWrap w:val="0"/>
            <w:vAlign w:val="center"/>
          </w:tcPr>
          <w:p w14:paraId="6866E8AF">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1.5</w:t>
            </w:r>
          </w:p>
        </w:tc>
      </w:tr>
      <w:tr w14:paraId="6839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4" w:type="dxa"/>
            <w:noWrap w:val="0"/>
            <w:vAlign w:val="center"/>
          </w:tcPr>
          <w:p w14:paraId="6B9DFAB3">
            <w:pPr>
              <w:widowControl/>
              <w:spacing w:line="240" w:lineRule="auto"/>
              <w:ind w:left="0" w:leftChars="0" w:firstLine="0" w:firstLineChars="0"/>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软件和信息技术服务业</w:t>
            </w:r>
          </w:p>
        </w:tc>
        <w:tc>
          <w:tcPr>
            <w:tcW w:w="1476" w:type="dxa"/>
            <w:noWrap w:val="0"/>
            <w:vAlign w:val="center"/>
          </w:tcPr>
          <w:p w14:paraId="5BE12F29">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0.6</w:t>
            </w:r>
          </w:p>
        </w:tc>
        <w:tc>
          <w:tcPr>
            <w:tcW w:w="1622" w:type="dxa"/>
            <w:noWrap w:val="0"/>
            <w:vAlign w:val="center"/>
          </w:tcPr>
          <w:p w14:paraId="0D3F8DA8">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c>
          <w:tcPr>
            <w:tcW w:w="1622" w:type="dxa"/>
            <w:noWrap w:val="0"/>
            <w:vAlign w:val="center"/>
          </w:tcPr>
          <w:p w14:paraId="4629FAC0">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r>
      <w:tr w14:paraId="1EC9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4" w:type="dxa"/>
            <w:noWrap w:val="0"/>
            <w:vAlign w:val="center"/>
          </w:tcPr>
          <w:p w14:paraId="1494C465">
            <w:pPr>
              <w:widowControl/>
              <w:spacing w:line="240" w:lineRule="auto"/>
              <w:ind w:left="0" w:leftChars="0" w:firstLine="0" w:firstLineChars="0"/>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专业技术服务业</w:t>
            </w:r>
          </w:p>
        </w:tc>
        <w:tc>
          <w:tcPr>
            <w:tcW w:w="1476" w:type="dxa"/>
            <w:noWrap w:val="0"/>
            <w:vAlign w:val="center"/>
          </w:tcPr>
          <w:p w14:paraId="122B0A3B">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c>
          <w:tcPr>
            <w:tcW w:w="1622" w:type="dxa"/>
            <w:noWrap w:val="0"/>
            <w:vAlign w:val="center"/>
          </w:tcPr>
          <w:p w14:paraId="66621550">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c>
          <w:tcPr>
            <w:tcW w:w="1622" w:type="dxa"/>
            <w:noWrap w:val="0"/>
            <w:vAlign w:val="center"/>
          </w:tcPr>
          <w:p w14:paraId="457E55FF">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r>
      <w:tr w14:paraId="4232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4" w:type="dxa"/>
            <w:noWrap w:val="0"/>
            <w:vAlign w:val="center"/>
          </w:tcPr>
          <w:p w14:paraId="77688281">
            <w:pPr>
              <w:widowControl/>
              <w:spacing w:line="240" w:lineRule="auto"/>
              <w:ind w:left="0" w:leftChars="0" w:firstLine="0" w:firstLineChars="0"/>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其他</w:t>
            </w:r>
          </w:p>
        </w:tc>
        <w:tc>
          <w:tcPr>
            <w:tcW w:w="1476" w:type="dxa"/>
            <w:noWrap w:val="0"/>
            <w:vAlign w:val="center"/>
          </w:tcPr>
          <w:p w14:paraId="19AEFF8B">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1.5</w:t>
            </w:r>
          </w:p>
        </w:tc>
        <w:tc>
          <w:tcPr>
            <w:tcW w:w="1622" w:type="dxa"/>
            <w:noWrap w:val="0"/>
            <w:vAlign w:val="center"/>
          </w:tcPr>
          <w:p w14:paraId="3351D00E">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1.5</w:t>
            </w:r>
          </w:p>
        </w:tc>
        <w:tc>
          <w:tcPr>
            <w:tcW w:w="1622" w:type="dxa"/>
            <w:noWrap w:val="0"/>
            <w:vAlign w:val="center"/>
          </w:tcPr>
          <w:p w14:paraId="45277A31">
            <w:pPr>
              <w:spacing w:line="240" w:lineRule="auto"/>
              <w:ind w:left="0" w:leftChars="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r>
    </w:tbl>
    <w:p w14:paraId="0FB60C2B">
      <w:pPr>
        <w:keepNext w:val="0"/>
        <w:keepLines w:val="0"/>
        <w:pageBreakBefore w:val="0"/>
        <w:widowControl w:val="0"/>
        <w:tabs>
          <w:tab w:val="left" w:pos="900"/>
          <w:tab w:val="left" w:pos="1080"/>
        </w:tabs>
        <w:kinsoku/>
        <w:wordWrap/>
        <w:overflowPunct/>
        <w:topLinePunct w:val="0"/>
        <w:autoSpaceDE/>
        <w:autoSpaceDN/>
        <w:bidi w:val="0"/>
        <w:adjustRightInd w:val="0"/>
        <w:snapToGrid w:val="0"/>
        <w:spacing w:line="240" w:lineRule="auto"/>
        <w:ind w:firstLine="482" w:firstLineChars="200"/>
        <w:textAlignment w:val="auto"/>
        <w:rPr>
          <w:rFonts w:hint="eastAsia" w:ascii="Times New Roman" w:hAnsi="Times New Roman" w:eastAsia="仿宋_GB2312" w:cs="Times New Roman"/>
          <w:color w:val="000000"/>
          <w:sz w:val="24"/>
          <w:szCs w:val="24"/>
        </w:rPr>
      </w:pPr>
      <w:r>
        <w:rPr>
          <w:rFonts w:hint="eastAsia" w:ascii="方正仿宋_GBK" w:hAnsi="方正仿宋_GBK" w:eastAsia="方正仿宋_GBK" w:cs="方正仿宋_GBK"/>
          <w:b/>
          <w:color w:val="000000"/>
          <w:sz w:val="24"/>
          <w:szCs w:val="24"/>
        </w:rPr>
        <w:t>说明</w:t>
      </w:r>
      <w:r>
        <w:rPr>
          <w:rFonts w:hint="eastAsia" w:ascii="Times New Roman" w:hAnsi="Times New Roman" w:eastAsia="仿宋_GB2312" w:cs="Times New Roman"/>
          <w:color w:val="000000"/>
          <w:sz w:val="24"/>
          <w:szCs w:val="24"/>
        </w:rPr>
        <w:t>：</w:t>
      </w:r>
    </w:p>
    <w:p w14:paraId="37B044B6">
      <w:pPr>
        <w:keepNext w:val="0"/>
        <w:keepLines w:val="0"/>
        <w:pageBreakBefore w:val="0"/>
        <w:widowControl w:val="0"/>
        <w:tabs>
          <w:tab w:val="left" w:pos="900"/>
          <w:tab w:val="left" w:pos="1080"/>
        </w:tabs>
        <w:kinsoku/>
        <w:wordWrap/>
        <w:overflowPunct/>
        <w:topLinePunct w:val="0"/>
        <w:autoSpaceDE/>
        <w:autoSpaceDN/>
        <w:bidi w:val="0"/>
        <w:adjustRightInd w:val="0"/>
        <w:snapToGrid w:val="0"/>
        <w:spacing w:line="240" w:lineRule="auto"/>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仿宋_GB2312" w:cs="Times New Roman"/>
          <w:color w:val="000000"/>
          <w:sz w:val="24"/>
          <w:szCs w:val="24"/>
        </w:rPr>
        <w:t>1．</w:t>
      </w:r>
      <w:r>
        <w:rPr>
          <w:rFonts w:hint="default" w:ascii="Times New Roman" w:hAnsi="Times New Roman" w:eastAsia="方正仿宋_GBK" w:cs="Times New Roman"/>
          <w:color w:val="000000"/>
          <w:sz w:val="24"/>
          <w:szCs w:val="24"/>
        </w:rPr>
        <w:t>由于不同行业在研发投入与产出方面存在较大差异，技术中心评估时，对不同行业企业</w:t>
      </w:r>
      <w:r>
        <w:rPr>
          <w:rFonts w:hint="eastAsia" w:ascii="方正仿宋_GBK" w:hAnsi="方正仿宋_GBK" w:eastAsia="方正仿宋_GBK" w:cs="方正仿宋_GBK"/>
          <w:color w:val="000000"/>
          <w:sz w:val="24"/>
          <w:szCs w:val="24"/>
        </w:rPr>
        <w:t>“研发经费支出占主营业务收入的比重”、“新产品销售收入占主营业务收入的比重”、“新产品销售利润占利润总额的比重”</w:t>
      </w:r>
      <w:r>
        <w:rPr>
          <w:rFonts w:hint="default" w:ascii="Times New Roman" w:hAnsi="Times New Roman" w:eastAsia="方正仿宋_GBK" w:cs="Times New Roman"/>
          <w:color w:val="000000"/>
          <w:sz w:val="24"/>
          <w:szCs w:val="24"/>
        </w:rPr>
        <w:t>三个指标引入行业系数加以调节。</w:t>
      </w:r>
    </w:p>
    <w:p w14:paraId="7B40B036">
      <w:pPr>
        <w:keepNext w:val="0"/>
        <w:keepLines w:val="0"/>
        <w:pageBreakBefore w:val="0"/>
        <w:widowControl w:val="0"/>
        <w:tabs>
          <w:tab w:val="left" w:pos="900"/>
          <w:tab w:val="left" w:pos="1080"/>
        </w:tabs>
        <w:kinsoku/>
        <w:wordWrap/>
        <w:overflowPunct/>
        <w:topLinePunct w:val="0"/>
        <w:autoSpaceDE/>
        <w:autoSpaceDN/>
        <w:bidi w:val="0"/>
        <w:adjustRightInd w:val="0"/>
        <w:snapToGrid w:val="0"/>
        <w:spacing w:line="240" w:lineRule="auto"/>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2．行业系数主要依据已认定</w:t>
      </w:r>
      <w:r>
        <w:rPr>
          <w:rFonts w:hint="default" w:ascii="Times New Roman" w:hAnsi="Times New Roman" w:eastAsia="方正仿宋_GBK" w:cs="Times New Roman"/>
          <w:color w:val="000000"/>
          <w:sz w:val="24"/>
          <w:szCs w:val="24"/>
          <w:lang w:eastAsia="zh-CN"/>
        </w:rPr>
        <w:t>企业技术中心</w:t>
      </w:r>
      <w:r>
        <w:rPr>
          <w:rFonts w:hint="default" w:ascii="Times New Roman" w:hAnsi="Times New Roman" w:eastAsia="方正仿宋_GBK" w:cs="Times New Roman"/>
          <w:color w:val="000000"/>
          <w:sz w:val="24"/>
          <w:szCs w:val="24"/>
        </w:rPr>
        <w:t>评价数据、大型工业企业统计数据测算得到。</w:t>
      </w:r>
    </w:p>
    <w:p w14:paraId="3E42D123">
      <w:pPr>
        <w:keepNext w:val="0"/>
        <w:keepLines w:val="0"/>
        <w:pageBreakBefore w:val="0"/>
        <w:widowControl w:val="0"/>
        <w:tabs>
          <w:tab w:val="left" w:pos="900"/>
          <w:tab w:val="left" w:pos="1080"/>
        </w:tabs>
        <w:kinsoku/>
        <w:wordWrap/>
        <w:overflowPunct/>
        <w:topLinePunct w:val="0"/>
        <w:autoSpaceDE/>
        <w:autoSpaceDN/>
        <w:bidi w:val="0"/>
        <w:adjustRightInd w:val="0"/>
        <w:snapToGrid w:val="0"/>
        <w:spacing w:line="240" w:lineRule="auto"/>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3．行业系数只作为第三方评估机构评价时使用，企业填报时无需考虑行业系数，按实际数据填报。评价时，根据企业填报的实际数据计算得出上述指标的比重，再乘以行业系数，得出指标的评价值。</w:t>
      </w:r>
    </w:p>
    <w:p w14:paraId="6A3AFABC">
      <w:pPr>
        <w:keepNext w:val="0"/>
        <w:keepLines w:val="0"/>
        <w:pageBreakBefore w:val="0"/>
        <w:widowControl w:val="0"/>
        <w:tabs>
          <w:tab w:val="left" w:pos="900"/>
          <w:tab w:val="left" w:pos="1080"/>
        </w:tabs>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sz w:val="24"/>
          <w:szCs w:val="24"/>
        </w:rPr>
        <w:t>4．</w:t>
      </w:r>
      <w:r>
        <w:rPr>
          <w:rFonts w:hint="eastAsia" w:ascii="方正仿宋_GBK" w:hAnsi="方正仿宋_GBK" w:eastAsia="方正仿宋_GBK" w:cs="方正仿宋_GBK"/>
          <w:color w:val="000000"/>
          <w:sz w:val="24"/>
          <w:szCs w:val="24"/>
        </w:rPr>
        <w:t>行业系数表中的“其他”行业包括“交通运输、仓储和邮政业”、“文化、体育和娱乐业”等行业。</w:t>
      </w:r>
    </w:p>
    <w:p w14:paraId="6DEAED12">
      <w:pPr>
        <w:spacing w:before="312" w:beforeLines="100" w:after="156" w:afterLines="50" w:line="560" w:lineRule="exact"/>
        <w:ind w:firstLine="600" w:firstLineChars="200"/>
        <w:outlineLvl w:val="1"/>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三、限定性指标的最低标准</w:t>
      </w:r>
    </w:p>
    <w:p w14:paraId="335EDD5B">
      <w:pPr>
        <w:bidi w:val="0"/>
        <w:spacing w:line="588" w:lineRule="exact"/>
        <w:ind w:firstLine="600" w:firstLineChars="200"/>
        <w:rPr>
          <w:rFonts w:hint="eastAsia" w:ascii="Times New Roman" w:hAnsi="Times New Roman" w:eastAsia="方正仿宋_GBK" w:cs="Times New Roman"/>
          <w:sz w:val="30"/>
          <w:szCs w:val="22"/>
        </w:rPr>
      </w:pPr>
      <w:r>
        <w:rPr>
          <w:rFonts w:hint="eastAsia" w:ascii="Times New Roman" w:hAnsi="Times New Roman" w:eastAsia="方正仿宋_GBK" w:cs="Times New Roman"/>
          <w:sz w:val="30"/>
          <w:szCs w:val="22"/>
        </w:rPr>
        <w:t>1．年度研究与试验发展经费支出额不低于</w:t>
      </w:r>
      <w:r>
        <w:rPr>
          <w:rFonts w:hint="eastAsia" w:ascii="Times New Roman" w:hAnsi="Times New Roman" w:eastAsia="方正仿宋_GBK" w:cs="Times New Roman"/>
          <w:sz w:val="30"/>
          <w:szCs w:val="22"/>
          <w:lang w:val="en-US" w:eastAsia="zh-CN"/>
        </w:rPr>
        <w:t>3000</w:t>
      </w:r>
      <w:r>
        <w:rPr>
          <w:rFonts w:hint="eastAsia" w:ascii="Times New Roman" w:hAnsi="Times New Roman" w:eastAsia="方正仿宋_GBK" w:cs="Times New Roman"/>
          <w:sz w:val="30"/>
          <w:szCs w:val="22"/>
        </w:rPr>
        <w:t>万元。</w:t>
      </w:r>
    </w:p>
    <w:p w14:paraId="787A8867">
      <w:pPr>
        <w:bidi w:val="0"/>
        <w:spacing w:line="588" w:lineRule="exact"/>
        <w:ind w:firstLine="600" w:firstLineChars="200"/>
        <w:rPr>
          <w:rFonts w:hint="eastAsia" w:ascii="Times New Roman" w:hAnsi="Times New Roman" w:eastAsia="方正仿宋_GBK" w:cs="Times New Roman"/>
          <w:sz w:val="30"/>
          <w:szCs w:val="22"/>
        </w:rPr>
      </w:pPr>
      <w:r>
        <w:rPr>
          <w:rFonts w:hint="eastAsia" w:ascii="Times New Roman" w:hAnsi="Times New Roman" w:eastAsia="方正仿宋_GBK" w:cs="Times New Roman"/>
          <w:sz w:val="30"/>
          <w:szCs w:val="22"/>
        </w:rPr>
        <w:t>2．年度研究与试验发展人员数不少于150人。</w:t>
      </w:r>
    </w:p>
    <w:p w14:paraId="48962EB6">
      <w:pPr>
        <w:bidi w:val="0"/>
        <w:spacing w:line="588" w:lineRule="exact"/>
        <w:ind w:firstLine="600" w:firstLineChars="200"/>
        <w:rPr>
          <w:rFonts w:hint="eastAsia" w:eastAsia="方正仿宋_GBK" w:cs="方正仿宋_GBK"/>
          <w:color w:val="auto"/>
          <w:sz w:val="30"/>
          <w:szCs w:val="30"/>
          <w:highlight w:val="none"/>
          <w:shd w:val="clear" w:color="auto" w:fill="auto"/>
          <w:lang w:eastAsia="zh"/>
        </w:rPr>
      </w:pPr>
      <w:r>
        <w:rPr>
          <w:rFonts w:hint="eastAsia" w:ascii="Times New Roman" w:hAnsi="Times New Roman" w:eastAsia="方正仿宋_GBK" w:cs="Times New Roman"/>
          <w:sz w:val="30"/>
          <w:szCs w:val="22"/>
        </w:rPr>
        <w:t>3．年度技术开发仪器设备原值不低于</w:t>
      </w:r>
      <w:r>
        <w:rPr>
          <w:rFonts w:hint="eastAsia" w:ascii="Times New Roman" w:hAnsi="Times New Roman" w:eastAsia="方正仿宋_GBK" w:cs="Times New Roman"/>
          <w:sz w:val="30"/>
          <w:szCs w:val="22"/>
          <w:lang w:val="en-US" w:eastAsia="zh-CN"/>
        </w:rPr>
        <w:t>3</w:t>
      </w:r>
      <w:r>
        <w:rPr>
          <w:rFonts w:hint="eastAsia" w:ascii="Times New Roman" w:hAnsi="Times New Roman" w:eastAsia="方正仿宋_GBK" w:cs="Times New Roman"/>
          <w:sz w:val="30"/>
          <w:szCs w:val="22"/>
        </w:rPr>
        <w:t>000万元。</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40AD0">
    <w:pPr>
      <w:pStyle w:val="4"/>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F0F49">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42F0F49">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14:paraId="678EBA1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015D8">
    <w:pPr>
      <w:widowControl w:val="0"/>
      <w:snapToGrid w:val="0"/>
      <w:spacing w:line="588" w:lineRule="exact"/>
      <w:ind w:firstLine="480" w:firstLineChars="200"/>
      <w:jc w:val="center"/>
      <w:rPr>
        <w:rFonts w:ascii="Times New Roman" w:hAnsi="Times New Roman" w:eastAsia="方正仿宋_GBK" w:cs="Times New Roman"/>
        <w:kern w:val="0"/>
        <w:sz w:val="24"/>
        <w:szCs w:val="24"/>
        <w:lang w:val="en-US" w:eastAsia="zh-CN" w:bidi="ar-SA"/>
      </w:rPr>
    </w:pPr>
    <w:r>
      <w:rPr>
        <w:sz w:val="24"/>
      </w:rPr>
      <mc:AlternateContent>
        <mc:Choice Requires="wps">
          <w:drawing>
            <wp:anchor distT="0" distB="0" distL="114300" distR="114300" simplePos="0" relativeHeight="251660288" behindDoc="0" locked="0" layoutInCell="1" allowOverlap="1">
              <wp:simplePos x="0" y="0"/>
              <wp:positionH relativeFrom="margin">
                <wp:posOffset>2275205</wp:posOffset>
              </wp:positionH>
              <wp:positionV relativeFrom="paragraph">
                <wp:posOffset>91440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98257">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9.15pt;margin-top:7.2pt;height:144pt;width:144pt;mso-position-horizontal-relative:margin;mso-wrap-style:none;z-index:251660288;mso-width-relative:page;mso-height-relative:page;" filled="f" stroked="f" coordsize="21600,21600" o:gfxdata="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hwEhz1gAAAAo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14:paraId="39198257">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zUwMTMwsjQytjQ1tzRU0lEKTi0uzszPAykwrgUAVOkL6iwAAAA="/>
  </w:docVars>
  <w:rsids>
    <w:rsidRoot w:val="27A44DB0"/>
    <w:rsid w:val="00004128"/>
    <w:rsid w:val="00020600"/>
    <w:rsid w:val="00026928"/>
    <w:rsid w:val="00037DB9"/>
    <w:rsid w:val="000432BD"/>
    <w:rsid w:val="000606E6"/>
    <w:rsid w:val="00062E19"/>
    <w:rsid w:val="00093892"/>
    <w:rsid w:val="00095A43"/>
    <w:rsid w:val="000965B5"/>
    <w:rsid w:val="000B30C8"/>
    <w:rsid w:val="000C3C55"/>
    <w:rsid w:val="000D0E0C"/>
    <w:rsid w:val="000D7F5B"/>
    <w:rsid w:val="000E209A"/>
    <w:rsid w:val="000E2922"/>
    <w:rsid w:val="00135268"/>
    <w:rsid w:val="00146F0C"/>
    <w:rsid w:val="0015306B"/>
    <w:rsid w:val="00170187"/>
    <w:rsid w:val="00185835"/>
    <w:rsid w:val="001C19C1"/>
    <w:rsid w:val="001C1FD1"/>
    <w:rsid w:val="002059C3"/>
    <w:rsid w:val="00214C45"/>
    <w:rsid w:val="00220E57"/>
    <w:rsid w:val="00235EDD"/>
    <w:rsid w:val="002517C8"/>
    <w:rsid w:val="00265470"/>
    <w:rsid w:val="0029123B"/>
    <w:rsid w:val="002A2832"/>
    <w:rsid w:val="002C1577"/>
    <w:rsid w:val="002F26C8"/>
    <w:rsid w:val="00313BB3"/>
    <w:rsid w:val="0032774E"/>
    <w:rsid w:val="00330D68"/>
    <w:rsid w:val="0034052E"/>
    <w:rsid w:val="003460F3"/>
    <w:rsid w:val="00361755"/>
    <w:rsid w:val="00364B91"/>
    <w:rsid w:val="00373925"/>
    <w:rsid w:val="0038791C"/>
    <w:rsid w:val="00390AE9"/>
    <w:rsid w:val="003954A7"/>
    <w:rsid w:val="003971FF"/>
    <w:rsid w:val="003A4CBC"/>
    <w:rsid w:val="003B7AF8"/>
    <w:rsid w:val="003D06FC"/>
    <w:rsid w:val="004205A2"/>
    <w:rsid w:val="004225B1"/>
    <w:rsid w:val="00426C51"/>
    <w:rsid w:val="00436682"/>
    <w:rsid w:val="0044498A"/>
    <w:rsid w:val="0045353C"/>
    <w:rsid w:val="00466AC6"/>
    <w:rsid w:val="00482FF8"/>
    <w:rsid w:val="00491BDF"/>
    <w:rsid w:val="004A41DE"/>
    <w:rsid w:val="004C0EDE"/>
    <w:rsid w:val="004E08AB"/>
    <w:rsid w:val="004F3B2E"/>
    <w:rsid w:val="005177E7"/>
    <w:rsid w:val="00542824"/>
    <w:rsid w:val="00553DBE"/>
    <w:rsid w:val="00553E7E"/>
    <w:rsid w:val="00554019"/>
    <w:rsid w:val="005C180D"/>
    <w:rsid w:val="005C27A0"/>
    <w:rsid w:val="005C46AB"/>
    <w:rsid w:val="005D3BAB"/>
    <w:rsid w:val="005F1439"/>
    <w:rsid w:val="00604DF6"/>
    <w:rsid w:val="00616BDE"/>
    <w:rsid w:val="00631C52"/>
    <w:rsid w:val="00633019"/>
    <w:rsid w:val="00691570"/>
    <w:rsid w:val="006B3D62"/>
    <w:rsid w:val="006C3632"/>
    <w:rsid w:val="006E5424"/>
    <w:rsid w:val="006F15AB"/>
    <w:rsid w:val="0070708B"/>
    <w:rsid w:val="00716202"/>
    <w:rsid w:val="00722F13"/>
    <w:rsid w:val="00750F7C"/>
    <w:rsid w:val="007511A2"/>
    <w:rsid w:val="00785883"/>
    <w:rsid w:val="00795DAA"/>
    <w:rsid w:val="007B35F8"/>
    <w:rsid w:val="007C1C36"/>
    <w:rsid w:val="007E690F"/>
    <w:rsid w:val="00832CFA"/>
    <w:rsid w:val="00866523"/>
    <w:rsid w:val="00870A86"/>
    <w:rsid w:val="0087618C"/>
    <w:rsid w:val="00882E70"/>
    <w:rsid w:val="0088548D"/>
    <w:rsid w:val="00885E3B"/>
    <w:rsid w:val="00895FFA"/>
    <w:rsid w:val="008A695B"/>
    <w:rsid w:val="008B3AF8"/>
    <w:rsid w:val="008B7765"/>
    <w:rsid w:val="008F39A0"/>
    <w:rsid w:val="00914139"/>
    <w:rsid w:val="0091682B"/>
    <w:rsid w:val="00921DAF"/>
    <w:rsid w:val="0092370C"/>
    <w:rsid w:val="00925F62"/>
    <w:rsid w:val="00936BC1"/>
    <w:rsid w:val="00965819"/>
    <w:rsid w:val="009763E1"/>
    <w:rsid w:val="009777C0"/>
    <w:rsid w:val="00984069"/>
    <w:rsid w:val="00990D5A"/>
    <w:rsid w:val="00990FBE"/>
    <w:rsid w:val="009A7416"/>
    <w:rsid w:val="009A7457"/>
    <w:rsid w:val="009B4C53"/>
    <w:rsid w:val="009B5C70"/>
    <w:rsid w:val="009C6E29"/>
    <w:rsid w:val="009E2AA0"/>
    <w:rsid w:val="009F44DB"/>
    <w:rsid w:val="00A2608B"/>
    <w:rsid w:val="00A30F6E"/>
    <w:rsid w:val="00A338A0"/>
    <w:rsid w:val="00A3679F"/>
    <w:rsid w:val="00A440D6"/>
    <w:rsid w:val="00A671AA"/>
    <w:rsid w:val="00A8430D"/>
    <w:rsid w:val="00A921EA"/>
    <w:rsid w:val="00A94B70"/>
    <w:rsid w:val="00A9642C"/>
    <w:rsid w:val="00A96BB2"/>
    <w:rsid w:val="00AC3E26"/>
    <w:rsid w:val="00AD2A40"/>
    <w:rsid w:val="00AE4723"/>
    <w:rsid w:val="00B04F8C"/>
    <w:rsid w:val="00B05C8E"/>
    <w:rsid w:val="00B378DB"/>
    <w:rsid w:val="00B437FD"/>
    <w:rsid w:val="00B45DA9"/>
    <w:rsid w:val="00B7399D"/>
    <w:rsid w:val="00BB414F"/>
    <w:rsid w:val="00BC1100"/>
    <w:rsid w:val="00BC73E9"/>
    <w:rsid w:val="00BC7624"/>
    <w:rsid w:val="00BC7E6F"/>
    <w:rsid w:val="00BD1CE7"/>
    <w:rsid w:val="00BD27CB"/>
    <w:rsid w:val="00BE3C64"/>
    <w:rsid w:val="00BE52E8"/>
    <w:rsid w:val="00BE64BA"/>
    <w:rsid w:val="00BF55B8"/>
    <w:rsid w:val="00C208BE"/>
    <w:rsid w:val="00C27A2C"/>
    <w:rsid w:val="00C36C11"/>
    <w:rsid w:val="00C4113A"/>
    <w:rsid w:val="00C56BC9"/>
    <w:rsid w:val="00C65337"/>
    <w:rsid w:val="00C7018E"/>
    <w:rsid w:val="00C71626"/>
    <w:rsid w:val="00CB022E"/>
    <w:rsid w:val="00CB6666"/>
    <w:rsid w:val="00CD560B"/>
    <w:rsid w:val="00CE3B02"/>
    <w:rsid w:val="00D52791"/>
    <w:rsid w:val="00D56DE4"/>
    <w:rsid w:val="00D647D1"/>
    <w:rsid w:val="00D655FB"/>
    <w:rsid w:val="00D66260"/>
    <w:rsid w:val="00D717A6"/>
    <w:rsid w:val="00D92C06"/>
    <w:rsid w:val="00D946CD"/>
    <w:rsid w:val="00DA7F0C"/>
    <w:rsid w:val="00DE3896"/>
    <w:rsid w:val="00E20992"/>
    <w:rsid w:val="00E22C38"/>
    <w:rsid w:val="00E30867"/>
    <w:rsid w:val="00E35E94"/>
    <w:rsid w:val="00E432E9"/>
    <w:rsid w:val="00E828E9"/>
    <w:rsid w:val="00E86082"/>
    <w:rsid w:val="00EE1F58"/>
    <w:rsid w:val="00EE4CB6"/>
    <w:rsid w:val="00EE7D33"/>
    <w:rsid w:val="00F016F9"/>
    <w:rsid w:val="00F36F99"/>
    <w:rsid w:val="00F417E0"/>
    <w:rsid w:val="00F419D1"/>
    <w:rsid w:val="00F64F8F"/>
    <w:rsid w:val="00F65382"/>
    <w:rsid w:val="00F66723"/>
    <w:rsid w:val="00FB1938"/>
    <w:rsid w:val="00FD6D0B"/>
    <w:rsid w:val="00FE38AF"/>
    <w:rsid w:val="00FE416F"/>
    <w:rsid w:val="00FF7490"/>
    <w:rsid w:val="011E7841"/>
    <w:rsid w:val="02355837"/>
    <w:rsid w:val="02E4100B"/>
    <w:rsid w:val="03DC60D1"/>
    <w:rsid w:val="0502495C"/>
    <w:rsid w:val="05BE7438"/>
    <w:rsid w:val="078F756B"/>
    <w:rsid w:val="07996868"/>
    <w:rsid w:val="07CA7109"/>
    <w:rsid w:val="07D72D84"/>
    <w:rsid w:val="0840360E"/>
    <w:rsid w:val="08446DA9"/>
    <w:rsid w:val="0A126021"/>
    <w:rsid w:val="0AFD6895"/>
    <w:rsid w:val="0D2E24C0"/>
    <w:rsid w:val="0DCD71AA"/>
    <w:rsid w:val="0DD76661"/>
    <w:rsid w:val="0DE04B2F"/>
    <w:rsid w:val="0F571E4B"/>
    <w:rsid w:val="0FA7589A"/>
    <w:rsid w:val="0FED3153"/>
    <w:rsid w:val="0FF112E6"/>
    <w:rsid w:val="100B5E29"/>
    <w:rsid w:val="10DE39E4"/>
    <w:rsid w:val="132F7CF2"/>
    <w:rsid w:val="13AC16D1"/>
    <w:rsid w:val="13F41B0E"/>
    <w:rsid w:val="146C2E86"/>
    <w:rsid w:val="149D30AC"/>
    <w:rsid w:val="14FC7F81"/>
    <w:rsid w:val="1545450A"/>
    <w:rsid w:val="15AA6F86"/>
    <w:rsid w:val="16970417"/>
    <w:rsid w:val="16F657F2"/>
    <w:rsid w:val="17B405D3"/>
    <w:rsid w:val="1833416F"/>
    <w:rsid w:val="19917063"/>
    <w:rsid w:val="19CA65CA"/>
    <w:rsid w:val="1A661DAE"/>
    <w:rsid w:val="1AC23941"/>
    <w:rsid w:val="1BD85F5E"/>
    <w:rsid w:val="1DAE442A"/>
    <w:rsid w:val="1DF81490"/>
    <w:rsid w:val="1EE17853"/>
    <w:rsid w:val="1F7F57D1"/>
    <w:rsid w:val="1FDD25EA"/>
    <w:rsid w:val="20B8662F"/>
    <w:rsid w:val="20C932CD"/>
    <w:rsid w:val="21AE2AB8"/>
    <w:rsid w:val="21CB4A2D"/>
    <w:rsid w:val="220B4BF5"/>
    <w:rsid w:val="22EF4417"/>
    <w:rsid w:val="23725FE4"/>
    <w:rsid w:val="24417C14"/>
    <w:rsid w:val="2456542D"/>
    <w:rsid w:val="248E7B88"/>
    <w:rsid w:val="25D75437"/>
    <w:rsid w:val="26012E3A"/>
    <w:rsid w:val="263F250A"/>
    <w:rsid w:val="27960276"/>
    <w:rsid w:val="279A033D"/>
    <w:rsid w:val="27A44DB0"/>
    <w:rsid w:val="28452A42"/>
    <w:rsid w:val="28CF3C1A"/>
    <w:rsid w:val="2A0730C3"/>
    <w:rsid w:val="2DB227DD"/>
    <w:rsid w:val="2EDD2C18"/>
    <w:rsid w:val="2EE93382"/>
    <w:rsid w:val="2F99381C"/>
    <w:rsid w:val="2FF24B01"/>
    <w:rsid w:val="30425CDD"/>
    <w:rsid w:val="31C51987"/>
    <w:rsid w:val="333A0650"/>
    <w:rsid w:val="33DF1910"/>
    <w:rsid w:val="360E5FF2"/>
    <w:rsid w:val="36887484"/>
    <w:rsid w:val="36BA5699"/>
    <w:rsid w:val="36ED699D"/>
    <w:rsid w:val="36FD3FA4"/>
    <w:rsid w:val="371B1AB4"/>
    <w:rsid w:val="375C316C"/>
    <w:rsid w:val="37F751F1"/>
    <w:rsid w:val="382A2DAF"/>
    <w:rsid w:val="3ACA19D7"/>
    <w:rsid w:val="3B1D688D"/>
    <w:rsid w:val="3BEFE6A3"/>
    <w:rsid w:val="3BF17A19"/>
    <w:rsid w:val="3D3879AE"/>
    <w:rsid w:val="3D4637DF"/>
    <w:rsid w:val="3DBF747D"/>
    <w:rsid w:val="3DF47290"/>
    <w:rsid w:val="3ED61CFC"/>
    <w:rsid w:val="3EED83DE"/>
    <w:rsid w:val="3F5F685A"/>
    <w:rsid w:val="400A531F"/>
    <w:rsid w:val="407A0B85"/>
    <w:rsid w:val="40B90E06"/>
    <w:rsid w:val="4186188E"/>
    <w:rsid w:val="41A85549"/>
    <w:rsid w:val="41AB6465"/>
    <w:rsid w:val="41E151CE"/>
    <w:rsid w:val="41F24517"/>
    <w:rsid w:val="42524C3E"/>
    <w:rsid w:val="42993516"/>
    <w:rsid w:val="42EA3982"/>
    <w:rsid w:val="42F26BF3"/>
    <w:rsid w:val="43016BED"/>
    <w:rsid w:val="43797654"/>
    <w:rsid w:val="438D030A"/>
    <w:rsid w:val="44053566"/>
    <w:rsid w:val="44D23AE5"/>
    <w:rsid w:val="44FC7EB7"/>
    <w:rsid w:val="454278EC"/>
    <w:rsid w:val="45A74EA9"/>
    <w:rsid w:val="461D3BE5"/>
    <w:rsid w:val="465F2715"/>
    <w:rsid w:val="470509D9"/>
    <w:rsid w:val="47066D38"/>
    <w:rsid w:val="471959CD"/>
    <w:rsid w:val="489E7DE4"/>
    <w:rsid w:val="48DF3E68"/>
    <w:rsid w:val="494661D5"/>
    <w:rsid w:val="4A0364B4"/>
    <w:rsid w:val="4A635BD9"/>
    <w:rsid w:val="4ACF29AC"/>
    <w:rsid w:val="4B2D33ED"/>
    <w:rsid w:val="4B9B1E8B"/>
    <w:rsid w:val="4BEF9703"/>
    <w:rsid w:val="4BFE6267"/>
    <w:rsid w:val="4E185E29"/>
    <w:rsid w:val="4E67EB98"/>
    <w:rsid w:val="4EF81DAE"/>
    <w:rsid w:val="4F277882"/>
    <w:rsid w:val="4F656D45"/>
    <w:rsid w:val="4FFD0CA3"/>
    <w:rsid w:val="507064AE"/>
    <w:rsid w:val="50834A88"/>
    <w:rsid w:val="51056042"/>
    <w:rsid w:val="51E90E1F"/>
    <w:rsid w:val="52777958"/>
    <w:rsid w:val="52A05DBB"/>
    <w:rsid w:val="538D5D3C"/>
    <w:rsid w:val="548D462B"/>
    <w:rsid w:val="54C73613"/>
    <w:rsid w:val="55F97F9F"/>
    <w:rsid w:val="561C2058"/>
    <w:rsid w:val="56E4466E"/>
    <w:rsid w:val="57CC295F"/>
    <w:rsid w:val="58241EF3"/>
    <w:rsid w:val="596A5280"/>
    <w:rsid w:val="5A20384C"/>
    <w:rsid w:val="5A825F9F"/>
    <w:rsid w:val="5B1D785A"/>
    <w:rsid w:val="5C5331DD"/>
    <w:rsid w:val="5CBF734C"/>
    <w:rsid w:val="5CD7103D"/>
    <w:rsid w:val="5E291CB0"/>
    <w:rsid w:val="5F433F39"/>
    <w:rsid w:val="61FA6124"/>
    <w:rsid w:val="627B6595"/>
    <w:rsid w:val="628E60E7"/>
    <w:rsid w:val="62A26502"/>
    <w:rsid w:val="63B06DBF"/>
    <w:rsid w:val="63FF65AE"/>
    <w:rsid w:val="646C0922"/>
    <w:rsid w:val="66B313C9"/>
    <w:rsid w:val="66B5404E"/>
    <w:rsid w:val="67BF46A4"/>
    <w:rsid w:val="67DD2D7C"/>
    <w:rsid w:val="67FD2D8A"/>
    <w:rsid w:val="6926745C"/>
    <w:rsid w:val="6A251769"/>
    <w:rsid w:val="6B6143A6"/>
    <w:rsid w:val="6C613F7C"/>
    <w:rsid w:val="6CA40C5F"/>
    <w:rsid w:val="6DA938EC"/>
    <w:rsid w:val="6DF704AD"/>
    <w:rsid w:val="6E743CFE"/>
    <w:rsid w:val="6EC7640B"/>
    <w:rsid w:val="6EDA5421"/>
    <w:rsid w:val="6F2C1D50"/>
    <w:rsid w:val="6F4715AA"/>
    <w:rsid w:val="702516B6"/>
    <w:rsid w:val="70646849"/>
    <w:rsid w:val="72783D34"/>
    <w:rsid w:val="72F91059"/>
    <w:rsid w:val="752B2B9C"/>
    <w:rsid w:val="76DFA96A"/>
    <w:rsid w:val="774A50D2"/>
    <w:rsid w:val="779E7D4B"/>
    <w:rsid w:val="77F52024"/>
    <w:rsid w:val="77F6B2D1"/>
    <w:rsid w:val="77FF6248"/>
    <w:rsid w:val="78160CF4"/>
    <w:rsid w:val="79B40A0B"/>
    <w:rsid w:val="7AC026E5"/>
    <w:rsid w:val="7B6F37B1"/>
    <w:rsid w:val="7BBF9A86"/>
    <w:rsid w:val="7BD92F92"/>
    <w:rsid w:val="7C3F9646"/>
    <w:rsid w:val="7C6744BF"/>
    <w:rsid w:val="7C790E6E"/>
    <w:rsid w:val="7CC972BC"/>
    <w:rsid w:val="7D1644E4"/>
    <w:rsid w:val="7D5B9938"/>
    <w:rsid w:val="7E3F7AA9"/>
    <w:rsid w:val="7EDB1675"/>
    <w:rsid w:val="7F28593F"/>
    <w:rsid w:val="7F5A5E88"/>
    <w:rsid w:val="999D517B"/>
    <w:rsid w:val="ABEE2D5F"/>
    <w:rsid w:val="BD1FF466"/>
    <w:rsid w:val="BEF768BD"/>
    <w:rsid w:val="BFBD734E"/>
    <w:rsid w:val="BFBF13AA"/>
    <w:rsid w:val="BFFD9A57"/>
    <w:rsid w:val="BFFF5C4C"/>
    <w:rsid w:val="CFEE005A"/>
    <w:rsid w:val="CFF6F782"/>
    <w:rsid w:val="D97F7D76"/>
    <w:rsid w:val="DEFE9B1F"/>
    <w:rsid w:val="DFEF61BE"/>
    <w:rsid w:val="DFFF8417"/>
    <w:rsid w:val="E13DFCA5"/>
    <w:rsid w:val="E7FEC8C7"/>
    <w:rsid w:val="EFABAE8B"/>
    <w:rsid w:val="EFEF8803"/>
    <w:rsid w:val="EFF6031E"/>
    <w:rsid w:val="F6CDF4FB"/>
    <w:rsid w:val="F77D9C09"/>
    <w:rsid w:val="F9D77F97"/>
    <w:rsid w:val="FC2780A8"/>
    <w:rsid w:val="FFEFE0D8"/>
    <w:rsid w:val="FFFBB9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99"/>
    <w:pPr>
      <w:keepNext/>
      <w:keepLines/>
      <w:widowControl w:val="0"/>
      <w:spacing w:before="340" w:after="330" w:line="578" w:lineRule="auto"/>
      <w:ind w:firstLine="600" w:firstLineChars="200"/>
      <w:jc w:val="both"/>
      <w:outlineLvl w:val="0"/>
    </w:pPr>
    <w:rPr>
      <w:rFonts w:ascii="Times New Roman" w:hAnsi="Times New Roman" w:eastAsia="方正仿宋_GBK" w:cs="Times New Roman"/>
      <w:b/>
      <w:bCs/>
      <w:kern w:val="44"/>
      <w:sz w:val="44"/>
      <w:szCs w:val="4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8"/>
    <w:qFormat/>
    <w:uiPriority w:val="0"/>
    <w:rPr>
      <w:sz w:val="18"/>
      <w:szCs w:val="18"/>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20"/>
    <w:semiHidden/>
    <w:unhideWhenUsed/>
    <w:qFormat/>
    <w:uiPriority w:val="0"/>
    <w:rPr>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Times New Roman" w:hAnsi="Times New Roman" w:eastAsia="Times New Roman"/>
      <w:kern w:val="0"/>
      <w:sz w:val="24"/>
    </w:rPr>
  </w:style>
  <w:style w:type="paragraph" w:styleId="8">
    <w:name w:val="Title"/>
    <w:basedOn w:val="1"/>
    <w:next w:val="1"/>
    <w:link w:val="19"/>
    <w:qFormat/>
    <w:uiPriority w:val="10"/>
    <w:pPr>
      <w:spacing w:line="588" w:lineRule="exact"/>
      <w:jc w:val="center"/>
      <w:outlineLvl w:val="0"/>
    </w:pPr>
    <w:rPr>
      <w:rFonts w:eastAsia="方正小标宋_GBK" w:asciiTheme="majorHAnsi" w:hAnsiTheme="majorHAnsi" w:cstheme="majorBidi"/>
      <w:bCs/>
      <w:sz w:val="36"/>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unhideWhenUsed/>
    <w:qFormat/>
    <w:uiPriority w:val="0"/>
    <w:rPr>
      <w:color w:val="0000FF" w:themeColor="hyperlink"/>
      <w:u w:val="single"/>
      <w14:textFill>
        <w14:solidFill>
          <w14:schemeClr w14:val="hlink"/>
        </w14:solidFill>
      </w14:textFill>
    </w:rPr>
  </w:style>
  <w:style w:type="character" w:styleId="14">
    <w:name w:val="footnote reference"/>
    <w:basedOn w:val="11"/>
    <w:semiHidden/>
    <w:unhideWhenUsed/>
    <w:qFormat/>
    <w:uiPriority w:val="0"/>
    <w:rPr>
      <w:vertAlign w:val="superscript"/>
    </w:rPr>
  </w:style>
  <w:style w:type="character" w:customStyle="1" w:styleId="15">
    <w:name w:val="页眉 字符"/>
    <w:link w:val="5"/>
    <w:qFormat/>
    <w:uiPriority w:val="0"/>
    <w:rPr>
      <w:kern w:val="2"/>
      <w:sz w:val="18"/>
      <w:szCs w:val="18"/>
    </w:rPr>
  </w:style>
  <w:style w:type="character" w:customStyle="1" w:styleId="16">
    <w:name w:val="页脚 字符"/>
    <w:link w:val="4"/>
    <w:qFormat/>
    <w:uiPriority w:val="99"/>
    <w:rPr>
      <w:kern w:val="2"/>
      <w:sz w:val="18"/>
      <w:szCs w:val="18"/>
    </w:rPr>
  </w:style>
  <w:style w:type="paragraph" w:styleId="17">
    <w:name w:val="List Paragraph"/>
    <w:basedOn w:val="1"/>
    <w:qFormat/>
    <w:uiPriority w:val="99"/>
    <w:pPr>
      <w:ind w:firstLine="420" w:firstLineChars="200"/>
    </w:pPr>
  </w:style>
  <w:style w:type="character" w:customStyle="1" w:styleId="18">
    <w:name w:val="批注框文本 字符"/>
    <w:basedOn w:val="11"/>
    <w:link w:val="3"/>
    <w:qFormat/>
    <w:uiPriority w:val="0"/>
    <w:rPr>
      <w:kern w:val="2"/>
      <w:sz w:val="18"/>
      <w:szCs w:val="18"/>
    </w:rPr>
  </w:style>
  <w:style w:type="character" w:customStyle="1" w:styleId="19">
    <w:name w:val="标题 字符"/>
    <w:basedOn w:val="11"/>
    <w:link w:val="8"/>
    <w:qFormat/>
    <w:uiPriority w:val="10"/>
    <w:rPr>
      <w:rFonts w:eastAsia="方正小标宋_GBK" w:asciiTheme="majorHAnsi" w:hAnsiTheme="majorHAnsi" w:cstheme="majorBidi"/>
      <w:bCs/>
      <w:kern w:val="2"/>
      <w:sz w:val="36"/>
      <w:szCs w:val="32"/>
    </w:rPr>
  </w:style>
  <w:style w:type="character" w:customStyle="1" w:styleId="20">
    <w:name w:val="脚注文本 字符"/>
    <w:basedOn w:val="11"/>
    <w:link w:val="6"/>
    <w:semiHidden/>
    <w:qFormat/>
    <w:uiPriority w:val="0"/>
    <w:rPr>
      <w:kern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cesi</Company>
  <Pages>12</Pages>
  <Words>3856</Words>
  <Characters>3874</Characters>
  <Lines>28</Lines>
  <Paragraphs>7</Paragraphs>
  <TotalTime>11</TotalTime>
  <ScaleCrop>false</ScaleCrop>
  <LinksUpToDate>false</LinksUpToDate>
  <CharactersWithSpaces>3880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2020-02-09T08:25:00Z</dcterms:created>
  <dc:creator>Liuhy</dc:creator>
  <cp:lastModifiedBy>WU Bo</cp:lastModifiedBy>
  <cp:lastPrinted>2025-07-18T00:19:00Z</cp:lastPrinted>
  <dcterms:modified xsi:type="dcterms:W3CDTF">2025-08-27T09:46:31Z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eyJoZGlkIjoiOGRjZDhkNGIwZTg4ODVhZjkyYjc4ZGYxZmY1ZjQ3YzkiLCJ1c2VySWQiOiIyNDE0MzE0OSJ9</vt:lpwstr>
  </property>
  <property fmtid="{D5CDD505-2E9C-101B-9397-08002B2CF9AE}" pid="4" name="ICV">
    <vt:lpwstr>D45FBFBBACD84A11B3AFD1DD392F0D86_13</vt:lpwstr>
  </property>
</Properties>
</file>