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5344D">
      <w:pPr>
        <w:spacing w:line="580" w:lineRule="exact"/>
        <w:rPr>
          <w:rFonts w:ascii="黑体" w:hAnsi="黑体" w:eastAsia="黑体"/>
        </w:rPr>
      </w:pPr>
      <w:r>
        <w:rPr>
          <w:rFonts w:hint="eastAsia" w:ascii="黑体" w:hAnsi="黑体" w:eastAsia="黑体"/>
        </w:rPr>
        <w:t>附件</w:t>
      </w:r>
    </w:p>
    <w:p w14:paraId="17B5487F">
      <w:pPr>
        <w:spacing w:line="580" w:lineRule="exact"/>
        <w:rPr>
          <w:rFonts w:hint="eastAsia" w:ascii="仿宋_GB2312"/>
        </w:rPr>
      </w:pPr>
    </w:p>
    <w:p w14:paraId="4F2E3E59">
      <w:pPr>
        <w:spacing w:line="600" w:lineRule="exact"/>
        <w:jc w:val="center"/>
        <w:rPr>
          <w:rFonts w:eastAsia="方正小标宋简体"/>
          <w:sz w:val="44"/>
          <w:szCs w:val="44"/>
        </w:rPr>
      </w:pPr>
      <w:bookmarkStart w:id="1" w:name="_GoBack"/>
      <w:r>
        <w:rPr>
          <w:rFonts w:ascii="方正小标宋简体" w:eastAsia="方正小标宋简体"/>
          <w:sz w:val="44"/>
          <w:szCs w:val="44"/>
        </w:rPr>
        <w:t>浙江省推进人工智能终端产业发展</w:t>
      </w:r>
    </w:p>
    <w:p w14:paraId="7F07C7F4">
      <w:pPr>
        <w:spacing w:line="600" w:lineRule="exact"/>
        <w:jc w:val="center"/>
        <w:rPr>
          <w:rFonts w:eastAsia="方正小标宋简体"/>
          <w:sz w:val="44"/>
          <w:szCs w:val="44"/>
        </w:rPr>
      </w:pPr>
      <w:r>
        <w:rPr>
          <w:rFonts w:ascii="方正小标宋简体" w:eastAsia="方正小标宋简体"/>
          <w:sz w:val="44"/>
          <w:szCs w:val="44"/>
        </w:rPr>
        <w:t>行动计划（</w:t>
      </w:r>
      <w:r>
        <w:rPr>
          <w:rFonts w:eastAsia="方正小标宋简体"/>
          <w:sz w:val="44"/>
          <w:szCs w:val="44"/>
        </w:rPr>
        <w:t>2025-2027</w:t>
      </w:r>
      <w:r>
        <w:rPr>
          <w:rFonts w:ascii="方正小标宋简体" w:eastAsia="方正小标宋简体"/>
          <w:sz w:val="44"/>
          <w:szCs w:val="44"/>
        </w:rPr>
        <w:t>年）</w:t>
      </w:r>
    </w:p>
    <w:bookmarkEnd w:id="1"/>
    <w:p w14:paraId="2893F5D7">
      <w:pPr>
        <w:spacing w:line="600" w:lineRule="exact"/>
        <w:jc w:val="center"/>
        <w:rPr>
          <w:rFonts w:hint="eastAsia" w:ascii="楷体_GB2312" w:eastAsia="楷体_GB2312"/>
          <w:szCs w:val="32"/>
        </w:rPr>
      </w:pPr>
      <w:r>
        <w:rPr>
          <w:rFonts w:hint="eastAsia" w:ascii="楷体_GB2312" w:eastAsia="楷体_GB2312"/>
          <w:szCs w:val="32"/>
        </w:rPr>
        <w:t>（征求意见稿）</w:t>
      </w:r>
    </w:p>
    <w:p w14:paraId="4F77868D">
      <w:pPr>
        <w:spacing w:line="600" w:lineRule="exact"/>
        <w:rPr>
          <w:szCs w:val="32"/>
        </w:rPr>
      </w:pPr>
    </w:p>
    <w:p w14:paraId="0169D428">
      <w:pPr>
        <w:spacing w:line="600" w:lineRule="exact"/>
        <w:ind w:firstLine="640" w:firstLineChars="200"/>
        <w:rPr>
          <w:szCs w:val="32"/>
        </w:rPr>
      </w:pPr>
      <w:r>
        <w:rPr>
          <w:rFonts w:ascii="仿宋_GB2312"/>
          <w:szCs w:val="32"/>
        </w:rPr>
        <w:t>人工智能终端是具备主动感知理解、多模态自然交互、智能化服务和自主学习进化等能力的新型终端产品，是新一轮科技革命和产业变革的重要载体。根据《国务院关于深入实施</w:t>
      </w:r>
      <w:r>
        <w:rPr>
          <w:szCs w:val="32"/>
        </w:rPr>
        <w:t>“</w:t>
      </w:r>
      <w:r>
        <w:rPr>
          <w:rFonts w:ascii="仿宋_GB2312"/>
          <w:szCs w:val="32"/>
        </w:rPr>
        <w:t>人工智能</w:t>
      </w:r>
      <w:r>
        <w:rPr>
          <w:szCs w:val="32"/>
        </w:rPr>
        <w:t>+”</w:t>
      </w:r>
      <w:r>
        <w:rPr>
          <w:rFonts w:ascii="仿宋_GB2312"/>
          <w:szCs w:val="32"/>
        </w:rPr>
        <w:t>行动的意见》、《浙江省人民政府印发关于支持人工智能创新发展若干措施的通知》等文件精神，为加快推进我省人工智能终端产业发展，培育形成新质生产力，特制定本行动计划。</w:t>
      </w:r>
    </w:p>
    <w:p w14:paraId="011DD608">
      <w:pPr>
        <w:numPr>
          <w:ilvl w:val="0"/>
          <w:numId w:val="1"/>
        </w:numPr>
        <w:spacing w:line="600" w:lineRule="exact"/>
        <w:ind w:firstLine="643" w:firstLineChars="200"/>
        <w:outlineLvl w:val="0"/>
        <w:rPr>
          <w:rFonts w:eastAsia="黑体"/>
          <w:b/>
          <w:bCs/>
          <w:kern w:val="44"/>
          <w:szCs w:val="32"/>
        </w:rPr>
      </w:pPr>
      <w:r>
        <w:rPr>
          <w:rFonts w:ascii="黑体" w:hAnsi="黑体" w:eastAsia="黑体"/>
          <w:b/>
          <w:bCs/>
          <w:kern w:val="44"/>
          <w:szCs w:val="32"/>
        </w:rPr>
        <w:t>总体目标</w:t>
      </w:r>
    </w:p>
    <w:p w14:paraId="6A00ACA8">
      <w:pPr>
        <w:spacing w:line="600" w:lineRule="exact"/>
        <w:ind w:firstLine="640" w:firstLineChars="200"/>
        <w:rPr>
          <w:szCs w:val="32"/>
        </w:rPr>
      </w:pPr>
      <w:r>
        <w:rPr>
          <w:rFonts w:ascii="仿宋_GB2312"/>
          <w:szCs w:val="32"/>
        </w:rPr>
        <w:t>以习近平新时代中国特色社会主义思想为指导，全面贯彻党的二十大和二十届二中、三中全会精神，以推动人工智能科技创新和产业创新深度融合为主线，推动人工智能终端全产业链升级，构建一体化全场景覆盖的智能交互环境，助力打造全球人工智能创新发展高地。到</w:t>
      </w:r>
      <w:r>
        <w:rPr>
          <w:szCs w:val="32"/>
        </w:rPr>
        <w:t>2027</w:t>
      </w:r>
      <w:r>
        <w:rPr>
          <w:rFonts w:ascii="仿宋_GB2312"/>
          <w:szCs w:val="32"/>
        </w:rPr>
        <w:t>年，我省人工智能终端产业综合实力显著增强，规上企业营业收入超</w:t>
      </w:r>
      <w:r>
        <w:rPr>
          <w:szCs w:val="32"/>
        </w:rPr>
        <w:t>5000</w:t>
      </w:r>
      <w:r>
        <w:rPr>
          <w:rFonts w:ascii="仿宋_GB2312"/>
          <w:szCs w:val="32"/>
        </w:rPr>
        <w:t>亿元，突破人工智能终端领域关键技术</w:t>
      </w:r>
      <w:r>
        <w:rPr>
          <w:szCs w:val="32"/>
        </w:rPr>
        <w:t>50</w:t>
      </w:r>
      <w:r>
        <w:rPr>
          <w:rFonts w:ascii="仿宋_GB2312"/>
          <w:szCs w:val="32"/>
        </w:rPr>
        <w:t>项，累计培育百亿以上企业</w:t>
      </w:r>
      <w:r>
        <w:rPr>
          <w:szCs w:val="32"/>
        </w:rPr>
        <w:t>10</w:t>
      </w:r>
      <w:r>
        <w:rPr>
          <w:rFonts w:ascii="仿宋_GB2312"/>
          <w:szCs w:val="32"/>
        </w:rPr>
        <w:t>家，专精特新</w:t>
      </w:r>
      <w:r>
        <w:rPr>
          <w:szCs w:val="32"/>
        </w:rPr>
        <w:t>“</w:t>
      </w:r>
      <w:r>
        <w:rPr>
          <w:rFonts w:ascii="仿宋_GB2312"/>
          <w:szCs w:val="32"/>
        </w:rPr>
        <w:t>小巨人</w:t>
      </w:r>
      <w:r>
        <w:rPr>
          <w:szCs w:val="32"/>
        </w:rPr>
        <w:t>”100</w:t>
      </w:r>
      <w:r>
        <w:rPr>
          <w:rFonts w:ascii="仿宋_GB2312"/>
          <w:szCs w:val="32"/>
        </w:rPr>
        <w:t>家，培育数智优品</w:t>
      </w:r>
      <w:r>
        <w:rPr>
          <w:szCs w:val="32"/>
        </w:rPr>
        <w:t>300</w:t>
      </w:r>
      <w:r>
        <w:rPr>
          <w:rFonts w:ascii="仿宋_GB2312"/>
          <w:szCs w:val="32"/>
        </w:rPr>
        <w:t>项，规上工业人工智能终端普及率超</w:t>
      </w:r>
      <w:r>
        <w:rPr>
          <w:szCs w:val="32"/>
        </w:rPr>
        <w:t>70%</w:t>
      </w:r>
      <w:r>
        <w:rPr>
          <w:rFonts w:ascii="仿宋_GB2312"/>
          <w:szCs w:val="32"/>
        </w:rPr>
        <w:t>，推动</w:t>
      </w:r>
      <w:r>
        <w:rPr>
          <w:szCs w:val="32"/>
        </w:rPr>
        <w:t>“</w:t>
      </w:r>
      <w:r>
        <w:rPr>
          <w:rFonts w:ascii="仿宋_GB2312"/>
          <w:szCs w:val="32"/>
        </w:rPr>
        <w:t>万物智联</w:t>
      </w:r>
      <w:r>
        <w:rPr>
          <w:szCs w:val="32"/>
        </w:rPr>
        <w:t>”</w:t>
      </w:r>
      <w:r>
        <w:rPr>
          <w:rFonts w:ascii="仿宋_GB2312"/>
          <w:szCs w:val="32"/>
        </w:rPr>
        <w:t>，成为迈向智能经济新阶段关键引擎，赋能千行百业。</w:t>
      </w:r>
    </w:p>
    <w:p w14:paraId="3C78D375">
      <w:pPr>
        <w:numPr>
          <w:ilvl w:val="0"/>
          <w:numId w:val="1"/>
        </w:numPr>
        <w:spacing w:line="600" w:lineRule="exact"/>
        <w:ind w:firstLine="643" w:firstLineChars="200"/>
        <w:outlineLvl w:val="0"/>
        <w:rPr>
          <w:rFonts w:eastAsia="黑体"/>
          <w:b/>
          <w:bCs/>
          <w:kern w:val="44"/>
          <w:szCs w:val="32"/>
        </w:rPr>
      </w:pPr>
      <w:r>
        <w:rPr>
          <w:rFonts w:ascii="黑体" w:hAnsi="黑体" w:eastAsia="黑体"/>
          <w:b/>
          <w:bCs/>
          <w:kern w:val="44"/>
          <w:szCs w:val="32"/>
        </w:rPr>
        <w:t>发展重点</w:t>
      </w:r>
    </w:p>
    <w:p w14:paraId="0072262A">
      <w:pPr>
        <w:spacing w:line="600" w:lineRule="exact"/>
        <w:ind w:firstLine="640" w:firstLineChars="200"/>
        <w:rPr>
          <w:szCs w:val="32"/>
        </w:rPr>
      </w:pPr>
      <w:r>
        <w:rPr>
          <w:rFonts w:ascii="仿宋_GB2312"/>
          <w:szCs w:val="32"/>
        </w:rPr>
        <w:t>加快发展</w:t>
      </w:r>
      <w:r>
        <w:rPr>
          <w:bCs/>
          <w:szCs w:val="32"/>
        </w:rPr>
        <w:t>AI</w:t>
      </w:r>
      <w:r>
        <w:rPr>
          <w:rFonts w:ascii="仿宋_GB2312"/>
          <w:bCs/>
          <w:szCs w:val="32"/>
        </w:rPr>
        <w:t>计算机</w:t>
      </w:r>
      <w:r>
        <w:rPr>
          <w:rFonts w:ascii="仿宋_GB2312"/>
          <w:szCs w:val="32"/>
        </w:rPr>
        <w:t>、</w:t>
      </w:r>
      <w:r>
        <w:rPr>
          <w:bCs/>
          <w:szCs w:val="32"/>
        </w:rPr>
        <w:t>AI</w:t>
      </w:r>
      <w:r>
        <w:rPr>
          <w:rFonts w:ascii="仿宋_GB2312"/>
          <w:bCs/>
          <w:szCs w:val="32"/>
        </w:rPr>
        <w:t>手机</w:t>
      </w:r>
      <w:r>
        <w:rPr>
          <w:rFonts w:ascii="仿宋_GB2312"/>
          <w:szCs w:val="32"/>
        </w:rPr>
        <w:t>、</w:t>
      </w:r>
      <w:r>
        <w:rPr>
          <w:rFonts w:ascii="仿宋_GB2312"/>
          <w:bCs/>
          <w:szCs w:val="32"/>
        </w:rPr>
        <w:t>智能穿戴设备</w:t>
      </w:r>
      <w:r>
        <w:rPr>
          <w:rFonts w:ascii="仿宋_GB2312"/>
          <w:szCs w:val="32"/>
        </w:rPr>
        <w:t>、</w:t>
      </w:r>
      <w:r>
        <w:rPr>
          <w:rFonts w:ascii="仿宋_GB2312"/>
          <w:bCs/>
          <w:szCs w:val="32"/>
        </w:rPr>
        <w:t>智能家居终端等消费终端，</w:t>
      </w:r>
      <w:r>
        <w:rPr>
          <w:rFonts w:ascii="仿宋_GB2312"/>
          <w:szCs w:val="32"/>
        </w:rPr>
        <w:t>巩固发展智能视觉终端、智能工业终端、智能机器人、智能网联汽车、智能无人机（船、艇）、智能医疗终端等行业终端，谋划发展人形机器人、纳米机器人、类脑智能终端、量子计算终端、飞行汽车等一批未来人工智能终端，构建</w:t>
      </w:r>
      <w:r>
        <w:rPr>
          <w:szCs w:val="32"/>
        </w:rPr>
        <w:t>“</w:t>
      </w:r>
      <w:r>
        <w:rPr>
          <w:rFonts w:hint="eastAsia"/>
          <w:szCs w:val="32"/>
        </w:rPr>
        <w:t>4</w:t>
      </w:r>
      <w:r>
        <w:rPr>
          <w:szCs w:val="32"/>
        </w:rPr>
        <w:t>+</w:t>
      </w:r>
      <w:r>
        <w:rPr>
          <w:rFonts w:hint="eastAsia"/>
          <w:szCs w:val="32"/>
        </w:rPr>
        <w:t>6</w:t>
      </w:r>
      <w:r>
        <w:rPr>
          <w:szCs w:val="32"/>
        </w:rPr>
        <w:t>+X”</w:t>
      </w:r>
      <w:r>
        <w:rPr>
          <w:rFonts w:ascii="仿宋_GB2312"/>
          <w:szCs w:val="32"/>
        </w:rPr>
        <w:t>人工智能终端产业体系，打造以杭州、宁波、嘉兴为核心，温州、湖州、台州、金华等地多点联动的环杭州湾人工智能终端产业集群。</w:t>
      </w:r>
    </w:p>
    <w:p w14:paraId="4F75B351">
      <w:pPr>
        <w:numPr>
          <w:ilvl w:val="1"/>
          <w:numId w:val="1"/>
        </w:numPr>
        <w:spacing w:line="600" w:lineRule="exact"/>
        <w:ind w:firstLine="640" w:firstLineChars="200"/>
        <w:outlineLvl w:val="1"/>
        <w:rPr>
          <w:rFonts w:eastAsia="楷体_GB2312"/>
          <w:bCs/>
          <w:szCs w:val="32"/>
        </w:rPr>
      </w:pPr>
      <w:r>
        <w:rPr>
          <w:rFonts w:ascii="楷体_GB2312" w:eastAsia="楷体_GB2312"/>
          <w:bCs/>
          <w:szCs w:val="32"/>
        </w:rPr>
        <w:t>做强消费终端</w:t>
      </w:r>
    </w:p>
    <w:p w14:paraId="681DC06F">
      <w:pPr>
        <w:numPr>
          <w:ilvl w:val="2"/>
          <w:numId w:val="1"/>
        </w:numPr>
        <w:adjustRightInd w:val="0"/>
        <w:spacing w:line="600" w:lineRule="exact"/>
        <w:ind w:firstLine="643" w:firstLineChars="200"/>
        <w:outlineLvl w:val="2"/>
        <w:rPr>
          <w:b/>
          <w:szCs w:val="32"/>
        </w:rPr>
      </w:pPr>
      <w:r>
        <w:rPr>
          <w:b/>
          <w:szCs w:val="32"/>
        </w:rPr>
        <w:t>AI</w:t>
      </w:r>
      <w:r>
        <w:rPr>
          <w:rFonts w:ascii="仿宋_GB2312"/>
          <w:b/>
          <w:szCs w:val="32"/>
        </w:rPr>
        <w:t>计算机。</w:t>
      </w:r>
      <w:r>
        <w:rPr>
          <w:rFonts w:ascii="仿宋_GB2312"/>
          <w:bCs/>
          <w:szCs w:val="32"/>
        </w:rPr>
        <w:t>提升发展</w:t>
      </w:r>
      <w:r>
        <w:rPr>
          <w:bCs/>
          <w:szCs w:val="32"/>
        </w:rPr>
        <w:t>AIPC</w:t>
      </w:r>
      <w:r>
        <w:rPr>
          <w:rFonts w:ascii="仿宋_GB2312"/>
          <w:bCs/>
          <w:szCs w:val="32"/>
        </w:rPr>
        <w:t>、云电脑、多系统笔记本电脑、算力一体机、</w:t>
      </w:r>
      <w:r>
        <w:rPr>
          <w:bCs/>
          <w:szCs w:val="32"/>
        </w:rPr>
        <w:t>AI</w:t>
      </w:r>
      <w:r>
        <w:rPr>
          <w:rFonts w:ascii="仿宋_GB2312"/>
          <w:bCs/>
          <w:szCs w:val="32"/>
        </w:rPr>
        <w:t>键盘和鼠标、智能路由器和全光网交换机等终端设备，探索开发具备强大图形处理与并行计算能力的</w:t>
      </w:r>
      <w:r>
        <w:rPr>
          <w:bCs/>
          <w:szCs w:val="32"/>
        </w:rPr>
        <w:t>AI</w:t>
      </w:r>
      <w:r>
        <w:rPr>
          <w:rFonts w:ascii="仿宋_GB2312"/>
          <w:bCs/>
          <w:szCs w:val="32"/>
        </w:rPr>
        <w:t>工作站。</w:t>
      </w:r>
    </w:p>
    <w:p w14:paraId="04ADEFDC">
      <w:pPr>
        <w:numPr>
          <w:ilvl w:val="2"/>
          <w:numId w:val="1"/>
        </w:numPr>
        <w:adjustRightInd w:val="0"/>
        <w:spacing w:line="600" w:lineRule="exact"/>
        <w:ind w:firstLine="643" w:firstLineChars="200"/>
        <w:outlineLvl w:val="2"/>
        <w:rPr>
          <w:b/>
          <w:szCs w:val="32"/>
        </w:rPr>
      </w:pPr>
      <w:r>
        <w:rPr>
          <w:b/>
          <w:szCs w:val="32"/>
        </w:rPr>
        <w:t>AI</w:t>
      </w:r>
      <w:r>
        <w:rPr>
          <w:rFonts w:ascii="仿宋_GB2312"/>
          <w:b/>
          <w:szCs w:val="32"/>
        </w:rPr>
        <w:t>手机。</w:t>
      </w:r>
      <w:r>
        <w:rPr>
          <w:rFonts w:ascii="仿宋_GB2312"/>
          <w:bCs/>
          <w:szCs w:val="32"/>
        </w:rPr>
        <w:t>研发支持端侧大模型推理的</w:t>
      </w:r>
      <w:r>
        <w:rPr>
          <w:bCs/>
          <w:szCs w:val="32"/>
        </w:rPr>
        <w:t>AI</w:t>
      </w:r>
      <w:r>
        <w:rPr>
          <w:rFonts w:ascii="仿宋_GB2312"/>
          <w:bCs/>
          <w:szCs w:val="32"/>
        </w:rPr>
        <w:t>操作系统和场景化</w:t>
      </w:r>
      <w:r>
        <w:rPr>
          <w:bCs/>
          <w:szCs w:val="32"/>
        </w:rPr>
        <w:t>AI</w:t>
      </w:r>
      <w:r>
        <w:rPr>
          <w:rFonts w:ascii="仿宋_GB2312"/>
          <w:bCs/>
          <w:szCs w:val="32"/>
        </w:rPr>
        <w:t>应用框架，探索开发具备自适应学习能力的全栈式</w:t>
      </w:r>
      <w:r>
        <w:rPr>
          <w:bCs/>
          <w:szCs w:val="32"/>
        </w:rPr>
        <w:t>AI</w:t>
      </w:r>
      <w:r>
        <w:rPr>
          <w:rFonts w:ascii="仿宋_GB2312"/>
          <w:bCs/>
          <w:szCs w:val="32"/>
        </w:rPr>
        <w:t>助手及</w:t>
      </w:r>
      <w:r>
        <w:rPr>
          <w:bCs/>
          <w:szCs w:val="32"/>
        </w:rPr>
        <w:t>AI</w:t>
      </w:r>
      <w:r>
        <w:rPr>
          <w:rFonts w:ascii="仿宋_GB2312"/>
          <w:bCs/>
          <w:szCs w:val="32"/>
        </w:rPr>
        <w:t>驱动的跨生态协同系统，引领智能手机从通信工具向</w:t>
      </w:r>
      <w:r>
        <w:rPr>
          <w:bCs/>
          <w:szCs w:val="32"/>
        </w:rPr>
        <w:t>AI</w:t>
      </w:r>
      <w:r>
        <w:rPr>
          <w:rFonts w:ascii="仿宋_GB2312"/>
          <w:bCs/>
          <w:szCs w:val="32"/>
        </w:rPr>
        <w:t>智能终端的范式升级。</w:t>
      </w:r>
    </w:p>
    <w:p w14:paraId="4909C47C">
      <w:pPr>
        <w:numPr>
          <w:ilvl w:val="2"/>
          <w:numId w:val="1"/>
        </w:numPr>
        <w:adjustRightInd w:val="0"/>
        <w:spacing w:line="600" w:lineRule="exact"/>
        <w:ind w:firstLine="643" w:firstLineChars="200"/>
        <w:outlineLvl w:val="2"/>
        <w:rPr>
          <w:b/>
          <w:szCs w:val="32"/>
        </w:rPr>
      </w:pPr>
      <w:r>
        <w:rPr>
          <w:rFonts w:ascii="仿宋_GB2312"/>
          <w:b/>
          <w:szCs w:val="32"/>
        </w:rPr>
        <w:t>智能穿戴设备。</w:t>
      </w:r>
      <w:r>
        <w:rPr>
          <w:rFonts w:ascii="仿宋_GB2312"/>
          <w:bCs/>
          <w:szCs w:val="32"/>
        </w:rPr>
        <w:t>提升发展集成</w:t>
      </w:r>
      <w:r>
        <w:rPr>
          <w:bCs/>
          <w:szCs w:val="32"/>
        </w:rPr>
        <w:t>AR/VR</w:t>
      </w:r>
      <w:r>
        <w:rPr>
          <w:rFonts w:ascii="仿宋_GB2312"/>
          <w:bCs/>
          <w:szCs w:val="32"/>
        </w:rPr>
        <w:t>融合、环境感知、生物特征识别的智能眼镜、智能手表、智能耳机等终端设备，加快突破传统设备形态，探索在服饰、饰品、工具等领域的融合创新。</w:t>
      </w:r>
    </w:p>
    <w:p w14:paraId="35C62C19">
      <w:pPr>
        <w:numPr>
          <w:ilvl w:val="2"/>
          <w:numId w:val="1"/>
        </w:numPr>
        <w:adjustRightInd w:val="0"/>
        <w:spacing w:line="600" w:lineRule="exact"/>
        <w:ind w:firstLine="643" w:firstLineChars="200"/>
        <w:outlineLvl w:val="2"/>
        <w:rPr>
          <w:b/>
          <w:szCs w:val="32"/>
        </w:rPr>
      </w:pPr>
      <w:r>
        <w:rPr>
          <w:rFonts w:ascii="仿宋_GB2312"/>
          <w:b/>
          <w:szCs w:val="32"/>
        </w:rPr>
        <w:t>智能家居终端。</w:t>
      </w:r>
      <w:r>
        <w:rPr>
          <w:rFonts w:ascii="仿宋_GB2312"/>
          <w:bCs/>
          <w:szCs w:val="32"/>
        </w:rPr>
        <w:t>开发支持多模态交互、自学习优化、无感互联和智能决策的智能电视、智能音响、智能门锁、扫地机器人、智能厨电等智能家居产品，构建适配大模型的智能家居统一平台。</w:t>
      </w:r>
    </w:p>
    <w:p w14:paraId="4AC98442">
      <w:pPr>
        <w:numPr>
          <w:ilvl w:val="1"/>
          <w:numId w:val="1"/>
        </w:numPr>
        <w:spacing w:line="600" w:lineRule="exact"/>
        <w:ind w:firstLine="640" w:firstLineChars="200"/>
        <w:outlineLvl w:val="1"/>
        <w:rPr>
          <w:rFonts w:ascii="楷体_GB2312" w:eastAsia="楷体_GB2312"/>
          <w:bCs/>
          <w:szCs w:val="32"/>
        </w:rPr>
      </w:pPr>
      <w:r>
        <w:rPr>
          <w:rFonts w:ascii="楷体_GB2312" w:eastAsia="楷体_GB2312"/>
          <w:bCs/>
          <w:szCs w:val="32"/>
        </w:rPr>
        <w:t>做大行业终端</w:t>
      </w:r>
    </w:p>
    <w:p w14:paraId="0B645C3D">
      <w:pPr>
        <w:numPr>
          <w:ilvl w:val="2"/>
          <w:numId w:val="2"/>
        </w:numPr>
        <w:tabs>
          <w:tab w:val="left" w:pos="0"/>
        </w:tabs>
        <w:adjustRightInd w:val="0"/>
        <w:spacing w:line="600" w:lineRule="exact"/>
        <w:ind w:firstLine="643" w:firstLineChars="200"/>
        <w:outlineLvl w:val="2"/>
        <w:rPr>
          <w:b/>
          <w:szCs w:val="32"/>
        </w:rPr>
      </w:pPr>
      <w:r>
        <w:rPr>
          <w:rFonts w:ascii="仿宋_GB2312"/>
          <w:b/>
          <w:szCs w:val="32"/>
        </w:rPr>
        <w:t>智能视觉终端。</w:t>
      </w:r>
      <w:r>
        <w:rPr>
          <w:rFonts w:ascii="仿宋_GB2312"/>
          <w:bCs/>
          <w:szCs w:val="32"/>
        </w:rPr>
        <w:t>提升发展复杂环境目标识别、行为分析和实时预警的</w:t>
      </w:r>
      <w:r>
        <w:rPr>
          <w:rFonts w:hint="eastAsia" w:ascii="仿宋_GB2312"/>
          <w:bCs/>
          <w:szCs w:val="32"/>
        </w:rPr>
        <w:t>视觉感知</w:t>
      </w:r>
      <w:r>
        <w:rPr>
          <w:rFonts w:ascii="仿宋_GB2312"/>
          <w:bCs/>
          <w:szCs w:val="32"/>
        </w:rPr>
        <w:t>摄像头、行为识别智能球机与</w:t>
      </w:r>
      <w:r>
        <w:rPr>
          <w:bCs/>
          <w:szCs w:val="32"/>
        </w:rPr>
        <w:t>AI</w:t>
      </w:r>
      <w:r>
        <w:rPr>
          <w:rFonts w:ascii="仿宋_GB2312"/>
          <w:bCs/>
          <w:szCs w:val="32"/>
        </w:rPr>
        <w:t>视频分析终端等，开发虚拟现实</w:t>
      </w:r>
      <w:r>
        <w:rPr>
          <w:bCs/>
          <w:szCs w:val="32"/>
        </w:rPr>
        <w:t>/</w:t>
      </w:r>
      <w:r>
        <w:rPr>
          <w:rFonts w:ascii="仿宋_GB2312"/>
          <w:bCs/>
          <w:szCs w:val="32"/>
        </w:rPr>
        <w:t>元宇宙设备、智能生物特征识别设备、智能仪器仪表、物质感知设备等终端。</w:t>
      </w:r>
    </w:p>
    <w:p w14:paraId="0CF89947">
      <w:pPr>
        <w:numPr>
          <w:ilvl w:val="2"/>
          <w:numId w:val="2"/>
        </w:numPr>
        <w:tabs>
          <w:tab w:val="left" w:pos="0"/>
        </w:tabs>
        <w:adjustRightInd w:val="0"/>
        <w:spacing w:line="600" w:lineRule="exact"/>
        <w:ind w:firstLine="643" w:firstLineChars="200"/>
        <w:outlineLvl w:val="2"/>
        <w:rPr>
          <w:b/>
          <w:szCs w:val="32"/>
        </w:rPr>
      </w:pPr>
      <w:r>
        <w:rPr>
          <w:rFonts w:ascii="仿宋_GB2312"/>
          <w:b/>
          <w:szCs w:val="32"/>
        </w:rPr>
        <w:t>智能工业终端。</w:t>
      </w:r>
      <w:r>
        <w:rPr>
          <w:rFonts w:ascii="仿宋_GB2312"/>
          <w:bCs/>
          <w:szCs w:val="32"/>
        </w:rPr>
        <w:t>开发具备自动编程、自感知、自优化能力的智能控制器、智能传感器、智能检测装备等终端设备，探索开发支持多模态感知融合、实时数字孪生交互的智能产线终端和预测性维护系统。</w:t>
      </w:r>
    </w:p>
    <w:p w14:paraId="3416C055">
      <w:pPr>
        <w:numPr>
          <w:ilvl w:val="2"/>
          <w:numId w:val="2"/>
        </w:numPr>
        <w:tabs>
          <w:tab w:val="left" w:pos="0"/>
        </w:tabs>
        <w:adjustRightInd w:val="0"/>
        <w:spacing w:line="600" w:lineRule="exact"/>
        <w:ind w:firstLine="643" w:firstLineChars="200"/>
        <w:outlineLvl w:val="2"/>
        <w:rPr>
          <w:b/>
          <w:szCs w:val="32"/>
        </w:rPr>
      </w:pPr>
      <w:r>
        <w:rPr>
          <w:rFonts w:ascii="仿宋_GB2312"/>
          <w:b/>
          <w:szCs w:val="32"/>
        </w:rPr>
        <w:t>智能机器人。</w:t>
      </w:r>
      <w:r>
        <w:rPr>
          <w:rFonts w:ascii="仿宋_GB2312"/>
          <w:bCs/>
          <w:szCs w:val="32"/>
        </w:rPr>
        <w:t>提升发展具备高精度运动控制、环境主动感知、灵巧操作能力的机器人本体及核心部组件，研发具身智能大模型、自适应决策系统及跨场景迁移学习框架，支撑特种环境作业、家庭智能服务、工业柔性制造、医疗精准辅助等多维度复杂场景规模化应用。</w:t>
      </w:r>
    </w:p>
    <w:p w14:paraId="2EF8E553">
      <w:pPr>
        <w:numPr>
          <w:ilvl w:val="2"/>
          <w:numId w:val="2"/>
        </w:numPr>
        <w:tabs>
          <w:tab w:val="left" w:pos="0"/>
        </w:tabs>
        <w:adjustRightInd w:val="0"/>
        <w:spacing w:line="600" w:lineRule="exact"/>
        <w:ind w:firstLine="643" w:firstLineChars="200"/>
        <w:outlineLvl w:val="2"/>
        <w:rPr>
          <w:b/>
          <w:szCs w:val="32"/>
        </w:rPr>
      </w:pPr>
      <w:r>
        <w:rPr>
          <w:rFonts w:ascii="仿宋_GB2312"/>
          <w:b/>
          <w:szCs w:val="32"/>
        </w:rPr>
        <w:t>智能网联汽车。</w:t>
      </w:r>
      <w:r>
        <w:rPr>
          <w:rFonts w:ascii="仿宋_GB2312"/>
          <w:bCs/>
          <w:szCs w:val="32"/>
        </w:rPr>
        <w:t>提升发展高精度厘米级动态定位系统、多模态环境感知融合终端及自动驾驶域控制器，探索开发基于</w:t>
      </w:r>
      <w:r>
        <w:rPr>
          <w:bCs/>
          <w:szCs w:val="32"/>
        </w:rPr>
        <w:t>6G-V2X</w:t>
      </w:r>
      <w:r>
        <w:rPr>
          <w:rFonts w:ascii="仿宋_GB2312"/>
          <w:bCs/>
          <w:szCs w:val="32"/>
        </w:rPr>
        <w:t>的车路云协同平台，推动城市自动驾驶载客运营、智慧物流无人配送、智能交通协同管理等场景规模化应用。</w:t>
      </w:r>
    </w:p>
    <w:p w14:paraId="7BD8ED47">
      <w:pPr>
        <w:numPr>
          <w:ilvl w:val="2"/>
          <w:numId w:val="2"/>
        </w:numPr>
        <w:tabs>
          <w:tab w:val="left" w:pos="0"/>
        </w:tabs>
        <w:adjustRightInd w:val="0"/>
        <w:spacing w:line="600" w:lineRule="exact"/>
        <w:ind w:firstLine="643" w:firstLineChars="200"/>
        <w:outlineLvl w:val="2"/>
        <w:rPr>
          <w:b/>
          <w:szCs w:val="32"/>
        </w:rPr>
      </w:pPr>
      <w:r>
        <w:rPr>
          <w:rFonts w:ascii="仿宋_GB2312"/>
          <w:b/>
          <w:szCs w:val="32"/>
        </w:rPr>
        <w:t>智能无人机（船、艇）。</w:t>
      </w:r>
      <w:r>
        <w:rPr>
          <w:rFonts w:ascii="仿宋_GB2312"/>
          <w:bCs/>
          <w:szCs w:val="32"/>
        </w:rPr>
        <w:t>积极发展货运无人机、快递无人机、农业植保无人机、电力巡检无人机等专用无人机设备，提升发展自主航行、靠泊、作业的智能无人船</w:t>
      </w:r>
      <w:r>
        <w:rPr>
          <w:rFonts w:hint="eastAsia" w:ascii="仿宋_GB2312"/>
          <w:bCs/>
          <w:szCs w:val="32"/>
        </w:rPr>
        <w:t>（</w:t>
      </w:r>
      <w:r>
        <w:rPr>
          <w:rFonts w:ascii="仿宋_GB2312"/>
          <w:bCs/>
          <w:szCs w:val="32"/>
        </w:rPr>
        <w:t>艇</w:t>
      </w:r>
      <w:r>
        <w:rPr>
          <w:rFonts w:hint="eastAsia" w:ascii="仿宋_GB2312"/>
          <w:bCs/>
          <w:szCs w:val="32"/>
        </w:rPr>
        <w:t>）</w:t>
      </w:r>
      <w:r>
        <w:rPr>
          <w:rFonts w:ascii="仿宋_GB2312"/>
          <w:bCs/>
          <w:szCs w:val="32"/>
        </w:rPr>
        <w:t>，加快发展海洋探测无人船和海洋资源勘探无人艇。</w:t>
      </w:r>
    </w:p>
    <w:p w14:paraId="52DF1E3E">
      <w:pPr>
        <w:numPr>
          <w:ilvl w:val="2"/>
          <w:numId w:val="2"/>
        </w:numPr>
        <w:tabs>
          <w:tab w:val="left" w:pos="0"/>
        </w:tabs>
        <w:adjustRightInd w:val="0"/>
        <w:spacing w:line="600" w:lineRule="exact"/>
        <w:ind w:firstLine="643" w:firstLineChars="200"/>
        <w:outlineLvl w:val="2"/>
        <w:rPr>
          <w:b/>
          <w:szCs w:val="32"/>
        </w:rPr>
      </w:pPr>
      <w:r>
        <w:rPr>
          <w:rFonts w:ascii="仿宋_GB2312"/>
          <w:b/>
          <w:szCs w:val="32"/>
        </w:rPr>
        <w:t>智能医疗终端。</w:t>
      </w:r>
      <w:r>
        <w:rPr>
          <w:rFonts w:ascii="仿宋_GB2312"/>
          <w:bCs/>
          <w:szCs w:val="32"/>
        </w:rPr>
        <w:t>提升发展集成端侧大模型推理能力、多模态生物传感的智能诊断终端、</w:t>
      </w:r>
      <w:r>
        <w:rPr>
          <w:bCs/>
          <w:szCs w:val="32"/>
        </w:rPr>
        <w:t>AI</w:t>
      </w:r>
      <w:r>
        <w:rPr>
          <w:rFonts w:ascii="仿宋_GB2312"/>
          <w:bCs/>
          <w:szCs w:val="32"/>
        </w:rPr>
        <w:t>影像分析设备、远程手术辅助设备、精准治疗终端等，研发跨设备健康数据融合平台及</w:t>
      </w:r>
      <w:r>
        <w:rPr>
          <w:bCs/>
          <w:szCs w:val="32"/>
        </w:rPr>
        <w:t>AI</w:t>
      </w:r>
      <w:r>
        <w:rPr>
          <w:rFonts w:ascii="仿宋_GB2312"/>
          <w:bCs/>
          <w:szCs w:val="32"/>
        </w:rPr>
        <w:t>增强的康复训练设备等。</w:t>
      </w:r>
    </w:p>
    <w:p w14:paraId="3D2705BF">
      <w:pPr>
        <w:numPr>
          <w:ilvl w:val="1"/>
          <w:numId w:val="2"/>
        </w:numPr>
        <w:spacing w:line="600" w:lineRule="exact"/>
        <w:ind w:firstLine="640" w:firstLineChars="200"/>
        <w:outlineLvl w:val="1"/>
        <w:rPr>
          <w:rFonts w:eastAsia="楷体_GB2312"/>
          <w:bCs/>
          <w:szCs w:val="32"/>
        </w:rPr>
      </w:pPr>
      <w:r>
        <w:rPr>
          <w:rFonts w:ascii="楷体_GB2312" w:eastAsia="楷体_GB2312"/>
          <w:bCs/>
          <w:szCs w:val="32"/>
        </w:rPr>
        <w:t>布局未来终端</w:t>
      </w:r>
    </w:p>
    <w:p w14:paraId="2719E3F2">
      <w:pPr>
        <w:numPr>
          <w:ilvl w:val="2"/>
          <w:numId w:val="3"/>
        </w:numPr>
        <w:tabs>
          <w:tab w:val="left" w:pos="0"/>
        </w:tabs>
        <w:adjustRightInd w:val="0"/>
        <w:spacing w:line="600" w:lineRule="exact"/>
        <w:ind w:firstLine="643" w:firstLineChars="200"/>
        <w:outlineLvl w:val="2"/>
        <w:rPr>
          <w:b/>
          <w:szCs w:val="32"/>
        </w:rPr>
      </w:pPr>
      <w:r>
        <w:rPr>
          <w:rFonts w:ascii="仿宋_GB2312"/>
          <w:b/>
          <w:szCs w:val="32"/>
        </w:rPr>
        <w:t>人形机器人。</w:t>
      </w:r>
      <w:r>
        <w:rPr>
          <w:rFonts w:ascii="仿宋_GB2312"/>
          <w:bCs/>
          <w:szCs w:val="32"/>
        </w:rPr>
        <w:t>加强大脑、小脑、机身协同，加快发展新型传感器、智能末端执行器、电子皮肤等关键部件和材料，加快突破肌电、脑电等前沿传感器技术，推动在特种、制造、民生服务等场景市场化应用。</w:t>
      </w:r>
    </w:p>
    <w:p w14:paraId="48152457">
      <w:pPr>
        <w:numPr>
          <w:ilvl w:val="2"/>
          <w:numId w:val="3"/>
        </w:numPr>
        <w:tabs>
          <w:tab w:val="left" w:pos="0"/>
        </w:tabs>
        <w:adjustRightInd w:val="0"/>
        <w:spacing w:line="600" w:lineRule="exact"/>
        <w:ind w:firstLine="643" w:firstLineChars="200"/>
        <w:outlineLvl w:val="2"/>
        <w:rPr>
          <w:b/>
          <w:szCs w:val="32"/>
        </w:rPr>
      </w:pPr>
      <w:r>
        <w:rPr>
          <w:rFonts w:ascii="仿宋_GB2312"/>
          <w:b/>
          <w:szCs w:val="32"/>
        </w:rPr>
        <w:t>纳米机器人。</w:t>
      </w:r>
      <w:r>
        <w:rPr>
          <w:rFonts w:ascii="仿宋_GB2312"/>
          <w:bCs/>
          <w:szCs w:val="32"/>
        </w:rPr>
        <w:t>突破光电操控、跨尺度定位等关键技术，加快发展生物相容性材料、碳纳米管等关键材料，探索发展智能纳米药物载体、纳米级生物传感器阵列等纳米机器人，加快在精准治疗、细胞级疾病诊断等领域规模化应用，积极探索在环境治理、组织再生修复等场景创新应用。</w:t>
      </w:r>
    </w:p>
    <w:p w14:paraId="3202B399">
      <w:pPr>
        <w:numPr>
          <w:ilvl w:val="2"/>
          <w:numId w:val="3"/>
        </w:numPr>
        <w:tabs>
          <w:tab w:val="left" w:pos="0"/>
        </w:tabs>
        <w:adjustRightInd w:val="0"/>
        <w:spacing w:line="600" w:lineRule="exact"/>
        <w:ind w:firstLine="643" w:firstLineChars="200"/>
        <w:outlineLvl w:val="2"/>
        <w:rPr>
          <w:b/>
          <w:szCs w:val="32"/>
        </w:rPr>
      </w:pPr>
      <w:r>
        <w:rPr>
          <w:rFonts w:ascii="仿宋_GB2312"/>
          <w:b/>
          <w:szCs w:val="32"/>
        </w:rPr>
        <w:t>类脑智能终端。</w:t>
      </w:r>
      <w:r>
        <w:rPr>
          <w:rFonts w:ascii="仿宋_GB2312"/>
          <w:bCs/>
          <w:szCs w:val="32"/>
        </w:rPr>
        <w:t>加快发展类脑计算芯片、神经形态处理器、多模态感知传感器等关键部件和材料，加快脑机接口、神经信号解析、神经形态计算等技术突破，开发易用安全的智能仿生假肢、穿戴式外骨骼、脑电头环、人工视网膜、人工耳蜗等类脑智能终端。</w:t>
      </w:r>
    </w:p>
    <w:p w14:paraId="10B0718D">
      <w:pPr>
        <w:numPr>
          <w:ilvl w:val="2"/>
          <w:numId w:val="3"/>
        </w:numPr>
        <w:tabs>
          <w:tab w:val="left" w:pos="0"/>
        </w:tabs>
        <w:adjustRightInd w:val="0"/>
        <w:spacing w:line="600" w:lineRule="exact"/>
        <w:ind w:firstLine="643" w:firstLineChars="200"/>
        <w:outlineLvl w:val="2"/>
        <w:rPr>
          <w:b/>
          <w:szCs w:val="32"/>
        </w:rPr>
      </w:pPr>
      <w:r>
        <w:rPr>
          <w:rFonts w:ascii="仿宋_GB2312"/>
          <w:b/>
          <w:szCs w:val="32"/>
        </w:rPr>
        <w:t>量子计算终端。</w:t>
      </w:r>
      <w:r>
        <w:rPr>
          <w:rFonts w:ascii="仿宋_GB2312"/>
          <w:bCs/>
          <w:szCs w:val="32"/>
        </w:rPr>
        <w:t>加快量子比特稳定性、量子纠错、量子算法等技术突破，探索发展超导量子芯片、量子计算调度算法等前沿技术，开发便携式光量子计算机、量子密码设备、适配工业场景的量子边缘计算设备、用于科研机构的专业级量子计算工作站等。</w:t>
      </w:r>
    </w:p>
    <w:p w14:paraId="2E2D21EC">
      <w:pPr>
        <w:numPr>
          <w:ilvl w:val="2"/>
          <w:numId w:val="3"/>
        </w:numPr>
        <w:tabs>
          <w:tab w:val="left" w:pos="0"/>
        </w:tabs>
        <w:adjustRightInd w:val="0"/>
        <w:spacing w:line="600" w:lineRule="exact"/>
        <w:ind w:firstLine="643" w:firstLineChars="200"/>
        <w:outlineLvl w:val="2"/>
        <w:rPr>
          <w:bCs/>
          <w:szCs w:val="32"/>
        </w:rPr>
      </w:pPr>
      <w:r>
        <w:rPr>
          <w:rFonts w:ascii="仿宋_GB2312"/>
          <w:b/>
          <w:szCs w:val="32"/>
        </w:rPr>
        <w:t>飞行汽车。</w:t>
      </w:r>
      <w:r>
        <w:rPr>
          <w:rFonts w:ascii="仿宋_GB2312"/>
          <w:bCs/>
          <w:szCs w:val="32"/>
        </w:rPr>
        <w:t>开发多涵道电动载人飞行汽车、大载重长航时货运飞行汽车、应急医疗飞行汽车、观光专用飞行汽车等，集成智能无人驾驶系统与空天地一体导航功能，推动城市通勤、物流运输、应急救援、旅游观光等立体化交通场景应用。</w:t>
      </w:r>
    </w:p>
    <w:p w14:paraId="0168B4D6">
      <w:pPr>
        <w:numPr>
          <w:ilvl w:val="0"/>
          <w:numId w:val="3"/>
        </w:numPr>
        <w:spacing w:line="600" w:lineRule="exact"/>
        <w:ind w:firstLine="643" w:firstLineChars="200"/>
        <w:outlineLvl w:val="0"/>
        <w:rPr>
          <w:rFonts w:eastAsia="黑体"/>
          <w:b/>
          <w:bCs/>
          <w:kern w:val="44"/>
          <w:szCs w:val="32"/>
        </w:rPr>
      </w:pPr>
      <w:r>
        <w:rPr>
          <w:rFonts w:ascii="黑体" w:hAnsi="黑体" w:eastAsia="黑体"/>
          <w:b/>
          <w:bCs/>
          <w:kern w:val="44"/>
          <w:szCs w:val="32"/>
        </w:rPr>
        <w:t>重点任务</w:t>
      </w:r>
    </w:p>
    <w:p w14:paraId="30F50ED3">
      <w:pPr>
        <w:numPr>
          <w:ilvl w:val="1"/>
          <w:numId w:val="3"/>
        </w:numPr>
        <w:spacing w:line="600" w:lineRule="exact"/>
        <w:ind w:firstLine="640" w:firstLineChars="200"/>
        <w:outlineLvl w:val="1"/>
        <w:rPr>
          <w:rFonts w:eastAsia="楷体_GB2312"/>
          <w:bCs/>
          <w:szCs w:val="32"/>
        </w:rPr>
      </w:pPr>
      <w:r>
        <w:rPr>
          <w:rFonts w:ascii="楷体_GB2312" w:eastAsia="楷体_GB2312"/>
          <w:bCs/>
          <w:szCs w:val="32"/>
        </w:rPr>
        <w:t>提升创新策源能力</w:t>
      </w:r>
    </w:p>
    <w:p w14:paraId="6169A32C">
      <w:pPr>
        <w:numPr>
          <w:ilvl w:val="2"/>
          <w:numId w:val="4"/>
        </w:numPr>
        <w:tabs>
          <w:tab w:val="left" w:pos="0"/>
        </w:tabs>
        <w:adjustRightInd w:val="0"/>
        <w:spacing w:line="600" w:lineRule="exact"/>
        <w:ind w:firstLine="643" w:firstLineChars="200"/>
        <w:outlineLvl w:val="2"/>
        <w:rPr>
          <w:bCs/>
          <w:szCs w:val="32"/>
        </w:rPr>
      </w:pPr>
      <w:r>
        <w:rPr>
          <w:rFonts w:ascii="仿宋_GB2312"/>
          <w:b/>
          <w:szCs w:val="32"/>
        </w:rPr>
        <w:t>加快端侧模型和智能体技术突破。</w:t>
      </w:r>
      <w:r>
        <w:rPr>
          <w:rFonts w:ascii="仿宋_GB2312"/>
          <w:bCs/>
          <w:szCs w:val="32"/>
        </w:rPr>
        <w:t>加快发展高精运动控制、姿态控制、语言识别、生物识别等核心算法模型技术。提升发展桌面系统、服务器系统、移动系统等智能终端操作系统。加快发展智能体技术，培育一批智能体开发平台，面向人工智能终端重点领域开展专业智能体开发，加强自主智能体通信协议标准化应用，推动多模型调度、多智能体协作。</w:t>
      </w:r>
      <w:r>
        <w:rPr>
          <w:rFonts w:ascii="仿宋_GB2312"/>
          <w:b/>
          <w:szCs w:val="32"/>
        </w:rPr>
        <w:t>加快关键零部件技术突破。</w:t>
      </w:r>
      <w:r>
        <w:rPr>
          <w:rFonts w:ascii="仿宋_GB2312"/>
          <w:bCs/>
          <w:szCs w:val="32"/>
        </w:rPr>
        <w:t>加强</w:t>
      </w:r>
      <w:r>
        <w:rPr>
          <w:kern w:val="0"/>
          <w:szCs w:val="32"/>
        </w:rPr>
        <w:t>GPU</w:t>
      </w:r>
      <w:r>
        <w:rPr>
          <w:rFonts w:ascii="仿宋_GB2312"/>
          <w:kern w:val="0"/>
          <w:szCs w:val="32"/>
        </w:rPr>
        <w:t>（图形加速处理器）、</w:t>
      </w:r>
      <w:r>
        <w:rPr>
          <w:kern w:val="0"/>
          <w:szCs w:val="32"/>
        </w:rPr>
        <w:t>TPU</w:t>
      </w:r>
      <w:r>
        <w:rPr>
          <w:rFonts w:ascii="仿宋_GB2312"/>
          <w:kern w:val="0"/>
          <w:szCs w:val="32"/>
        </w:rPr>
        <w:t>（张量处理器）、</w:t>
      </w:r>
      <w:r>
        <w:rPr>
          <w:rFonts w:ascii="仿宋_GB2312"/>
          <w:bCs/>
          <w:szCs w:val="32"/>
        </w:rPr>
        <w:t>类脑计算等智能芯片关键技术协同攻关，大力发展第五代精简指令集（</w:t>
      </w:r>
      <w:r>
        <w:rPr>
          <w:bCs/>
          <w:szCs w:val="32"/>
        </w:rPr>
        <w:t>RISC-V</w:t>
      </w:r>
      <w:r>
        <w:rPr>
          <w:rFonts w:ascii="仿宋_GB2312"/>
          <w:bCs/>
          <w:szCs w:val="32"/>
        </w:rPr>
        <w:t>）芯片。加快突破多维传感器、柔性触觉传感器（电子皮肤）、高端无框力矩电机、高精度减速器等一批关键零部件技术。</w:t>
      </w:r>
    </w:p>
    <w:p w14:paraId="41E45DD8">
      <w:pPr>
        <w:numPr>
          <w:ilvl w:val="2"/>
          <w:numId w:val="4"/>
        </w:numPr>
        <w:tabs>
          <w:tab w:val="left" w:pos="0"/>
        </w:tabs>
        <w:adjustRightInd w:val="0"/>
        <w:spacing w:line="600" w:lineRule="exact"/>
        <w:ind w:firstLine="643" w:firstLineChars="200"/>
        <w:outlineLvl w:val="2"/>
        <w:rPr>
          <w:b/>
          <w:szCs w:val="32"/>
        </w:rPr>
      </w:pPr>
      <w:r>
        <w:rPr>
          <w:rFonts w:ascii="仿宋_GB2312"/>
          <w:b/>
          <w:szCs w:val="32"/>
        </w:rPr>
        <w:t>加快高质量数据集建设。</w:t>
      </w:r>
      <w:r>
        <w:rPr>
          <w:rFonts w:ascii="仿宋_GB2312"/>
          <w:bCs/>
          <w:szCs w:val="32"/>
        </w:rPr>
        <w:t>加快人形机器人、智能网联汽车、低空经济、智能医疗终端等领域数据训练基地建设，打造一批模拟仿真平台，实现对复杂场景和任务的真实还原，加强数据标注、数据合成、数据清洗等技术突破应用，形成一批高质量数据集。</w:t>
      </w:r>
    </w:p>
    <w:p w14:paraId="13F33117">
      <w:pPr>
        <w:numPr>
          <w:ilvl w:val="1"/>
          <w:numId w:val="4"/>
        </w:numPr>
        <w:spacing w:line="600" w:lineRule="exact"/>
        <w:ind w:firstLine="640" w:firstLineChars="200"/>
        <w:outlineLvl w:val="1"/>
        <w:rPr>
          <w:rFonts w:eastAsia="楷体_GB2312"/>
          <w:bCs/>
          <w:szCs w:val="32"/>
        </w:rPr>
      </w:pPr>
      <w:r>
        <w:rPr>
          <w:rFonts w:ascii="楷体_GB2312" w:eastAsia="楷体_GB2312"/>
          <w:bCs/>
          <w:szCs w:val="32"/>
        </w:rPr>
        <w:t>提升大规模产业化能力</w:t>
      </w:r>
    </w:p>
    <w:p w14:paraId="22F0E073">
      <w:pPr>
        <w:numPr>
          <w:ilvl w:val="2"/>
          <w:numId w:val="5"/>
        </w:numPr>
        <w:tabs>
          <w:tab w:val="left" w:pos="0"/>
        </w:tabs>
        <w:adjustRightInd w:val="0"/>
        <w:spacing w:line="600" w:lineRule="exact"/>
        <w:ind w:firstLine="643" w:firstLineChars="200"/>
        <w:outlineLvl w:val="2"/>
        <w:rPr>
          <w:b/>
          <w:szCs w:val="32"/>
        </w:rPr>
      </w:pPr>
      <w:r>
        <w:rPr>
          <w:rFonts w:ascii="仿宋_GB2312"/>
          <w:b/>
          <w:szCs w:val="32"/>
        </w:rPr>
        <w:t>推动企业梯度培育。</w:t>
      </w:r>
      <w:r>
        <w:rPr>
          <w:rFonts w:ascii="仿宋_GB2312"/>
          <w:bCs/>
          <w:szCs w:val="32"/>
        </w:rPr>
        <w:t>建立</w:t>
      </w:r>
      <w:r>
        <w:rPr>
          <w:bCs/>
          <w:szCs w:val="32"/>
        </w:rPr>
        <w:t>“</w:t>
      </w:r>
      <w:r>
        <w:rPr>
          <w:rFonts w:ascii="仿宋_GB2312"/>
          <w:bCs/>
          <w:szCs w:val="32"/>
        </w:rPr>
        <w:t>大小协同、铺天盖地</w:t>
      </w:r>
      <w:r>
        <w:rPr>
          <w:bCs/>
          <w:szCs w:val="32"/>
        </w:rPr>
        <w:t>”</w:t>
      </w:r>
      <w:r>
        <w:rPr>
          <w:rFonts w:ascii="仿宋_GB2312"/>
          <w:bCs/>
          <w:szCs w:val="32"/>
        </w:rPr>
        <w:t>的企业梯队，结合优质企业培育发展行动，建立人工智能终端优质企业培育库，着力引育一批链主企业，内生裂变一批单项冠军企业、专精特新企业、科技型创新型中小企业，深化大中小企业融通发展。培育一批以人工智能终端、智能体为核心的智能原生企业，实现人机协同与决策，持续推进业务模式创新和组织优化。</w:t>
      </w:r>
    </w:p>
    <w:p w14:paraId="006F0EEB">
      <w:pPr>
        <w:numPr>
          <w:ilvl w:val="2"/>
          <w:numId w:val="5"/>
        </w:numPr>
        <w:tabs>
          <w:tab w:val="left" w:pos="0"/>
        </w:tabs>
        <w:adjustRightInd w:val="0"/>
        <w:spacing w:line="600" w:lineRule="exact"/>
        <w:ind w:firstLine="643" w:firstLineChars="200"/>
        <w:outlineLvl w:val="2"/>
        <w:rPr>
          <w:b/>
          <w:szCs w:val="32"/>
        </w:rPr>
      </w:pPr>
      <w:r>
        <w:rPr>
          <w:rFonts w:ascii="仿宋_GB2312"/>
          <w:b/>
          <w:szCs w:val="32"/>
        </w:rPr>
        <w:t>推动产业平台布局。</w:t>
      </w:r>
      <w:r>
        <w:rPr>
          <w:rFonts w:ascii="仿宋_GB2312"/>
          <w:bCs/>
          <w:szCs w:val="32"/>
        </w:rPr>
        <w:t>支持人工智能、智能物联等数字产业集群核心区、协同区加强人工智能终端领域布局，建设以人工智能终端为核心的数字经济产业园（楼宇），加快招引一批人工智能终端整机、零部件企业，打造国际一流、国内领先的人工智能终端产业基地。</w:t>
      </w:r>
    </w:p>
    <w:p w14:paraId="0ED2F068">
      <w:pPr>
        <w:numPr>
          <w:ilvl w:val="2"/>
          <w:numId w:val="5"/>
        </w:numPr>
        <w:tabs>
          <w:tab w:val="left" w:pos="0"/>
        </w:tabs>
        <w:adjustRightInd w:val="0"/>
        <w:spacing w:line="600" w:lineRule="exact"/>
        <w:ind w:firstLine="643" w:firstLineChars="200"/>
        <w:outlineLvl w:val="2"/>
        <w:rPr>
          <w:b/>
          <w:szCs w:val="32"/>
        </w:rPr>
      </w:pPr>
      <w:r>
        <w:rPr>
          <w:rFonts w:ascii="仿宋_GB2312"/>
          <w:b/>
          <w:szCs w:val="32"/>
        </w:rPr>
        <w:t>推动创新成果产业化。</w:t>
      </w:r>
      <w:r>
        <w:rPr>
          <w:rFonts w:ascii="仿宋_GB2312"/>
          <w:bCs/>
          <w:szCs w:val="32"/>
        </w:rPr>
        <w:t>建立</w:t>
      </w:r>
      <w:r>
        <w:rPr>
          <w:bCs/>
          <w:szCs w:val="32"/>
        </w:rPr>
        <w:t>“</w:t>
      </w:r>
      <w:r>
        <w:rPr>
          <w:rFonts w:ascii="仿宋_GB2312"/>
          <w:bCs/>
          <w:szCs w:val="32"/>
        </w:rPr>
        <w:t>高校</w:t>
      </w:r>
      <w:r>
        <w:rPr>
          <w:bCs/>
          <w:szCs w:val="32"/>
        </w:rPr>
        <w:t>+</w:t>
      </w:r>
      <w:r>
        <w:rPr>
          <w:rFonts w:ascii="仿宋_GB2312"/>
          <w:bCs/>
          <w:szCs w:val="32"/>
        </w:rPr>
        <w:t>平台</w:t>
      </w:r>
      <w:r>
        <w:rPr>
          <w:bCs/>
          <w:szCs w:val="32"/>
        </w:rPr>
        <w:t>+</w:t>
      </w:r>
      <w:r>
        <w:rPr>
          <w:rFonts w:ascii="仿宋_GB2312"/>
          <w:bCs/>
          <w:szCs w:val="32"/>
        </w:rPr>
        <w:t>企业</w:t>
      </w:r>
      <w:r>
        <w:rPr>
          <w:bCs/>
          <w:szCs w:val="32"/>
        </w:rPr>
        <w:t>+</w:t>
      </w:r>
      <w:r>
        <w:rPr>
          <w:rFonts w:ascii="仿宋_GB2312"/>
          <w:bCs/>
          <w:szCs w:val="32"/>
        </w:rPr>
        <w:t>产业链</w:t>
      </w:r>
      <w:r>
        <w:rPr>
          <w:bCs/>
          <w:szCs w:val="32"/>
        </w:rPr>
        <w:t>”</w:t>
      </w:r>
      <w:r>
        <w:rPr>
          <w:rFonts w:ascii="仿宋_GB2312"/>
          <w:bCs/>
          <w:szCs w:val="32"/>
        </w:rPr>
        <w:t>的结对合作机制，推广</w:t>
      </w:r>
      <w:r>
        <w:rPr>
          <w:bCs/>
          <w:szCs w:val="32"/>
        </w:rPr>
        <w:t>“</w:t>
      </w:r>
      <w:r>
        <w:rPr>
          <w:rFonts w:ascii="仿宋_GB2312"/>
          <w:bCs/>
          <w:szCs w:val="32"/>
        </w:rPr>
        <w:t>先用后付</w:t>
      </w:r>
      <w:r>
        <w:rPr>
          <w:bCs/>
          <w:szCs w:val="32"/>
        </w:rPr>
        <w:t>”</w:t>
      </w:r>
      <w:r>
        <w:rPr>
          <w:rFonts w:ascii="仿宋_GB2312"/>
          <w:bCs/>
          <w:szCs w:val="32"/>
        </w:rPr>
        <w:t>创新成果许可使用模式。推动高价值专利产业化应用，实施</w:t>
      </w:r>
      <w:r>
        <w:rPr>
          <w:bCs/>
          <w:szCs w:val="32"/>
        </w:rPr>
        <w:t>“</w:t>
      </w:r>
      <w:r>
        <w:rPr>
          <w:rFonts w:ascii="仿宋_GB2312"/>
          <w:bCs/>
          <w:szCs w:val="32"/>
        </w:rPr>
        <w:t>金种子</w:t>
      </w:r>
      <w:r>
        <w:rPr>
          <w:bCs/>
          <w:szCs w:val="32"/>
        </w:rPr>
        <w:t>”</w:t>
      </w:r>
      <w:r>
        <w:rPr>
          <w:rFonts w:ascii="仿宋_GB2312"/>
          <w:bCs/>
          <w:szCs w:val="32"/>
        </w:rPr>
        <w:t>计划和</w:t>
      </w:r>
      <w:r>
        <w:rPr>
          <w:bCs/>
          <w:szCs w:val="32"/>
        </w:rPr>
        <w:t>“</w:t>
      </w:r>
      <w:r>
        <w:rPr>
          <w:rFonts w:ascii="仿宋_GB2312"/>
          <w:bCs/>
          <w:szCs w:val="32"/>
        </w:rPr>
        <w:t>蒲公英</w:t>
      </w:r>
      <w:r>
        <w:rPr>
          <w:bCs/>
          <w:szCs w:val="32"/>
        </w:rPr>
        <w:t>”</w:t>
      </w:r>
      <w:r>
        <w:rPr>
          <w:rFonts w:ascii="仿宋_GB2312"/>
          <w:bCs/>
          <w:szCs w:val="32"/>
        </w:rPr>
        <w:t>行动，建立高校院所</w:t>
      </w:r>
      <w:r>
        <w:rPr>
          <w:bCs/>
          <w:szCs w:val="32"/>
        </w:rPr>
        <w:t>“</w:t>
      </w:r>
      <w:r>
        <w:rPr>
          <w:rFonts w:ascii="仿宋_GB2312"/>
          <w:bCs/>
          <w:szCs w:val="32"/>
        </w:rPr>
        <w:t>双五星</w:t>
      </w:r>
      <w:r>
        <w:rPr>
          <w:bCs/>
          <w:szCs w:val="32"/>
        </w:rPr>
        <w:t>”</w:t>
      </w:r>
      <w:r>
        <w:rPr>
          <w:rFonts w:ascii="仿宋_GB2312"/>
          <w:bCs/>
          <w:szCs w:val="32"/>
        </w:rPr>
        <w:t>专利资源无障碍流入企业机制，降低中小企业专利成本。</w:t>
      </w:r>
    </w:p>
    <w:p w14:paraId="10857F0F">
      <w:pPr>
        <w:numPr>
          <w:ilvl w:val="1"/>
          <w:numId w:val="5"/>
        </w:numPr>
        <w:spacing w:line="600" w:lineRule="exact"/>
        <w:ind w:firstLine="640" w:firstLineChars="200"/>
        <w:outlineLvl w:val="1"/>
        <w:rPr>
          <w:rFonts w:eastAsia="楷体_GB2312"/>
          <w:bCs/>
          <w:szCs w:val="32"/>
        </w:rPr>
      </w:pPr>
      <w:r>
        <w:rPr>
          <w:rFonts w:ascii="楷体_GB2312" w:eastAsia="楷体_GB2312"/>
          <w:bCs/>
          <w:szCs w:val="32"/>
        </w:rPr>
        <w:t>提升产业链供应链主导能力</w:t>
      </w:r>
    </w:p>
    <w:p w14:paraId="60BC174A">
      <w:pPr>
        <w:numPr>
          <w:ilvl w:val="2"/>
          <w:numId w:val="6"/>
        </w:numPr>
        <w:tabs>
          <w:tab w:val="left" w:pos="0"/>
        </w:tabs>
        <w:adjustRightInd w:val="0"/>
        <w:spacing w:line="600" w:lineRule="exact"/>
        <w:ind w:firstLine="643" w:firstLineChars="200"/>
        <w:outlineLvl w:val="2"/>
        <w:rPr>
          <w:b/>
          <w:szCs w:val="32"/>
        </w:rPr>
      </w:pPr>
      <w:r>
        <w:rPr>
          <w:rFonts w:ascii="仿宋_GB2312"/>
          <w:b/>
          <w:szCs w:val="32"/>
        </w:rPr>
        <w:t>加强整零协同。</w:t>
      </w:r>
      <w:r>
        <w:rPr>
          <w:rFonts w:ascii="仿宋_GB2312"/>
          <w:bCs/>
          <w:szCs w:val="32"/>
        </w:rPr>
        <w:t>支持整机终端企业牵头组建产业联盟，定期发布产品采购、协作配套、技术合作需求清单，引导零部件企业基于整机功能需求开展定制化开发，扶持一批产业链供应链协同创新项目。组织开展</w:t>
      </w:r>
      <w:r>
        <w:rPr>
          <w:bCs/>
          <w:szCs w:val="32"/>
        </w:rPr>
        <w:t>“</w:t>
      </w:r>
      <w:r>
        <w:rPr>
          <w:rFonts w:ascii="仿宋_GB2312"/>
          <w:bCs/>
          <w:szCs w:val="32"/>
        </w:rPr>
        <w:t>十链百场万企</w:t>
      </w:r>
      <w:r>
        <w:rPr>
          <w:bCs/>
          <w:szCs w:val="32"/>
        </w:rPr>
        <w:t>”</w:t>
      </w:r>
      <w:r>
        <w:rPr>
          <w:rFonts w:hint="eastAsia" w:ascii="仿宋_GB2312"/>
          <w:bCs/>
          <w:szCs w:val="32"/>
        </w:rPr>
        <w:t>之</w:t>
      </w:r>
      <w:r>
        <w:rPr>
          <w:rFonts w:ascii="仿宋_GB2312"/>
          <w:bCs/>
          <w:szCs w:val="32"/>
        </w:rPr>
        <w:t>人工智能终端专题对接活动，加强芯机联动、整零协同。</w:t>
      </w:r>
    </w:p>
    <w:p w14:paraId="72B5BA7B">
      <w:pPr>
        <w:numPr>
          <w:ilvl w:val="2"/>
          <w:numId w:val="6"/>
        </w:numPr>
        <w:tabs>
          <w:tab w:val="left" w:pos="0"/>
        </w:tabs>
        <w:adjustRightInd w:val="0"/>
        <w:spacing w:line="600" w:lineRule="exact"/>
        <w:ind w:firstLine="643" w:firstLineChars="200"/>
        <w:outlineLvl w:val="2"/>
        <w:rPr>
          <w:b/>
          <w:szCs w:val="32"/>
        </w:rPr>
      </w:pPr>
      <w:r>
        <w:rPr>
          <w:rFonts w:ascii="仿宋_GB2312"/>
          <w:b/>
          <w:szCs w:val="32"/>
        </w:rPr>
        <w:t>加强软硬协同。</w:t>
      </w:r>
      <w:r>
        <w:rPr>
          <w:rFonts w:ascii="仿宋_GB2312"/>
          <w:bCs/>
          <w:szCs w:val="32"/>
        </w:rPr>
        <w:t>支持一批人工智能终端企业建设二次开发平台，基于基础工具包加快软件、算法、模型创新，做大做强软硬件协同生态。推动国产软件与智能芯片、传感器、控制系统等深度耦合，加强软硬件兼容适配、芯模联动，推动全栈自主可控。</w:t>
      </w:r>
    </w:p>
    <w:p w14:paraId="7E63C99A">
      <w:pPr>
        <w:numPr>
          <w:ilvl w:val="2"/>
          <w:numId w:val="6"/>
        </w:numPr>
        <w:tabs>
          <w:tab w:val="left" w:pos="0"/>
        </w:tabs>
        <w:adjustRightInd w:val="0"/>
        <w:spacing w:line="600" w:lineRule="exact"/>
        <w:ind w:firstLine="643" w:firstLineChars="200"/>
        <w:outlineLvl w:val="2"/>
        <w:rPr>
          <w:b/>
          <w:szCs w:val="32"/>
        </w:rPr>
      </w:pPr>
      <w:r>
        <w:rPr>
          <w:rFonts w:ascii="仿宋_GB2312"/>
          <w:b/>
          <w:szCs w:val="32"/>
        </w:rPr>
        <w:t>加强标准协同。</w:t>
      </w:r>
      <w:r>
        <w:rPr>
          <w:rFonts w:ascii="仿宋_GB2312"/>
          <w:bCs/>
          <w:szCs w:val="32"/>
        </w:rPr>
        <w:t>支持龙头企业主导或参与智能穿戴设备</w:t>
      </w:r>
      <w:r>
        <w:rPr>
          <w:rFonts w:hint="eastAsia" w:ascii="仿宋_GB2312"/>
          <w:bCs/>
          <w:szCs w:val="32"/>
        </w:rPr>
        <w:t>、</w:t>
      </w:r>
      <w:r>
        <w:rPr>
          <w:rFonts w:ascii="仿宋_GB2312"/>
          <w:bCs/>
          <w:szCs w:val="32"/>
        </w:rPr>
        <w:t>智能视觉终端、智能工业终端、智能机器人、智能网联汽车等领域国际、国家标准制（修）订。鼓励优势企业和科研机构积极参与</w:t>
      </w:r>
      <w:r>
        <w:rPr>
          <w:bCs/>
          <w:szCs w:val="32"/>
        </w:rPr>
        <w:t>AI</w:t>
      </w:r>
      <w:r>
        <w:rPr>
          <w:rFonts w:ascii="仿宋_GB2312"/>
          <w:bCs/>
          <w:szCs w:val="32"/>
        </w:rPr>
        <w:t>计算机、</w:t>
      </w:r>
      <w:r>
        <w:rPr>
          <w:bCs/>
          <w:szCs w:val="32"/>
        </w:rPr>
        <w:t>AI</w:t>
      </w:r>
      <w:r>
        <w:rPr>
          <w:rFonts w:ascii="仿宋_GB2312"/>
          <w:bCs/>
          <w:szCs w:val="32"/>
        </w:rPr>
        <w:t>手机、类脑智能终端、量子计算终端等行业标准研究。积极对接国际国内相关标准化组织，推动重点领域标准贯通。</w:t>
      </w:r>
    </w:p>
    <w:p w14:paraId="0DF9567F">
      <w:pPr>
        <w:numPr>
          <w:ilvl w:val="1"/>
          <w:numId w:val="6"/>
        </w:numPr>
        <w:spacing w:line="600" w:lineRule="exact"/>
        <w:ind w:firstLine="640" w:firstLineChars="200"/>
        <w:outlineLvl w:val="1"/>
        <w:rPr>
          <w:rFonts w:eastAsia="楷体_GB2312"/>
          <w:bCs/>
          <w:szCs w:val="32"/>
        </w:rPr>
      </w:pPr>
      <w:r>
        <w:rPr>
          <w:rFonts w:ascii="楷体_GB2312" w:eastAsia="楷体_GB2312"/>
          <w:bCs/>
          <w:szCs w:val="32"/>
        </w:rPr>
        <w:t>提升终端产品竞争力</w:t>
      </w:r>
    </w:p>
    <w:p w14:paraId="5F3B4A96">
      <w:pPr>
        <w:numPr>
          <w:ilvl w:val="2"/>
          <w:numId w:val="7"/>
        </w:numPr>
        <w:tabs>
          <w:tab w:val="left" w:pos="0"/>
        </w:tabs>
        <w:adjustRightInd w:val="0"/>
        <w:spacing w:line="600" w:lineRule="exact"/>
        <w:ind w:firstLine="643" w:firstLineChars="200"/>
        <w:outlineLvl w:val="2"/>
        <w:rPr>
          <w:b/>
          <w:szCs w:val="32"/>
        </w:rPr>
      </w:pPr>
      <w:r>
        <w:rPr>
          <w:rFonts w:ascii="仿宋_GB2312"/>
          <w:b/>
          <w:szCs w:val="32"/>
        </w:rPr>
        <w:t>打造高价值场景。</w:t>
      </w:r>
      <w:r>
        <w:rPr>
          <w:rFonts w:ascii="仿宋_GB2312"/>
          <w:bCs/>
          <w:szCs w:val="32"/>
        </w:rPr>
        <w:t>推动场景开放和场景挖掘，重点面向劳动密集型领域，定期发布人工智能终端应用场景需求和产品清单，加快培育一批集约化、集成化、便捷化场景和产品，推进人力资源进一步释放。支持有条件的地市分行业打造人工智能终端场景孵化池，鼓励终端企业和行业用户基于场景需求开展产品共创。</w:t>
      </w:r>
    </w:p>
    <w:p w14:paraId="3635BB1F">
      <w:pPr>
        <w:numPr>
          <w:ilvl w:val="2"/>
          <w:numId w:val="7"/>
        </w:numPr>
        <w:tabs>
          <w:tab w:val="left" w:pos="0"/>
        </w:tabs>
        <w:adjustRightInd w:val="0"/>
        <w:spacing w:line="600" w:lineRule="exact"/>
        <w:ind w:firstLine="643" w:firstLineChars="200"/>
        <w:outlineLvl w:val="2"/>
        <w:rPr>
          <w:bCs/>
          <w:szCs w:val="32"/>
        </w:rPr>
      </w:pPr>
      <w:r>
        <w:rPr>
          <w:rFonts w:ascii="仿宋_GB2312"/>
          <w:b/>
          <w:szCs w:val="32"/>
        </w:rPr>
        <w:t>强化新品牌培育。</w:t>
      </w:r>
      <w:r>
        <w:rPr>
          <w:rFonts w:ascii="仿宋_GB2312"/>
          <w:bCs/>
          <w:szCs w:val="32"/>
        </w:rPr>
        <w:t>在省级工业新产品、首台（套）、</w:t>
      </w:r>
      <w:r>
        <w:rPr>
          <w:bCs/>
          <w:szCs w:val="32"/>
        </w:rPr>
        <w:t>“</w:t>
      </w:r>
      <w:r>
        <w:rPr>
          <w:rFonts w:ascii="仿宋_GB2312"/>
          <w:bCs/>
          <w:szCs w:val="32"/>
        </w:rPr>
        <w:t>浙江制造精品</w:t>
      </w:r>
      <w:r>
        <w:rPr>
          <w:bCs/>
          <w:szCs w:val="32"/>
        </w:rPr>
        <w:t>”</w:t>
      </w:r>
      <w:r>
        <w:rPr>
          <w:rFonts w:ascii="仿宋_GB2312"/>
          <w:bCs/>
          <w:szCs w:val="32"/>
        </w:rPr>
        <w:t>、</w:t>
      </w:r>
      <w:r>
        <w:rPr>
          <w:bCs/>
          <w:szCs w:val="32"/>
        </w:rPr>
        <w:t>“</w:t>
      </w:r>
      <w:r>
        <w:rPr>
          <w:rFonts w:ascii="仿宋_GB2312"/>
          <w:bCs/>
          <w:szCs w:val="32"/>
        </w:rPr>
        <w:t>品字标浙江制造</w:t>
      </w:r>
      <w:r>
        <w:rPr>
          <w:bCs/>
          <w:szCs w:val="32"/>
        </w:rPr>
        <w:t>”</w:t>
      </w:r>
      <w:r>
        <w:rPr>
          <w:rFonts w:ascii="仿宋_GB2312"/>
          <w:bCs/>
          <w:szCs w:val="32"/>
        </w:rPr>
        <w:t>、</w:t>
      </w:r>
      <w:r>
        <w:rPr>
          <w:bCs/>
          <w:szCs w:val="32"/>
        </w:rPr>
        <w:t>“</w:t>
      </w:r>
      <w:r>
        <w:rPr>
          <w:rFonts w:ascii="仿宋_GB2312"/>
          <w:bCs/>
          <w:szCs w:val="32"/>
        </w:rPr>
        <w:t>数智优品</w:t>
      </w:r>
      <w:r>
        <w:rPr>
          <w:bCs/>
          <w:szCs w:val="32"/>
        </w:rPr>
        <w:t>”</w:t>
      </w:r>
      <w:r>
        <w:rPr>
          <w:rFonts w:ascii="仿宋_GB2312"/>
          <w:bCs/>
          <w:szCs w:val="32"/>
        </w:rPr>
        <w:t>等中加大对人工智能终端新产品的支持力度，推广</w:t>
      </w:r>
      <w:r>
        <w:rPr>
          <w:bCs/>
          <w:szCs w:val="32"/>
        </w:rPr>
        <w:t>“</w:t>
      </w:r>
      <w:r>
        <w:rPr>
          <w:rFonts w:ascii="仿宋_GB2312"/>
          <w:bCs/>
          <w:szCs w:val="32"/>
        </w:rPr>
        <w:t>数字三品</w:t>
      </w:r>
      <w:r>
        <w:rPr>
          <w:bCs/>
          <w:szCs w:val="32"/>
        </w:rPr>
        <w:t>”</w:t>
      </w:r>
      <w:r>
        <w:rPr>
          <w:rFonts w:ascii="仿宋_GB2312"/>
          <w:bCs/>
          <w:szCs w:val="32"/>
        </w:rPr>
        <w:t>场景案例，加快培育一批区域品牌、企业品牌、产品品牌。支持产业链供应链上下游企业纳入共同质量管理体系，实施质量技术联合攻关和质量一致性管控。</w:t>
      </w:r>
    </w:p>
    <w:p w14:paraId="5AA6B7BC">
      <w:pPr>
        <w:numPr>
          <w:ilvl w:val="2"/>
          <w:numId w:val="7"/>
        </w:numPr>
        <w:tabs>
          <w:tab w:val="left" w:pos="0"/>
        </w:tabs>
        <w:adjustRightInd w:val="0"/>
        <w:spacing w:line="600" w:lineRule="exact"/>
        <w:ind w:firstLine="643" w:firstLineChars="200"/>
        <w:outlineLvl w:val="2"/>
        <w:rPr>
          <w:bCs/>
          <w:szCs w:val="32"/>
        </w:rPr>
      </w:pPr>
      <w:r>
        <w:rPr>
          <w:rFonts w:ascii="仿宋_GB2312"/>
          <w:b/>
          <w:szCs w:val="32"/>
        </w:rPr>
        <w:t>推动新产品应用。</w:t>
      </w:r>
      <w:r>
        <w:rPr>
          <w:rFonts w:ascii="仿宋_GB2312"/>
          <w:bCs/>
          <w:szCs w:val="32"/>
        </w:rPr>
        <w:t>在世界互联网大会、全球数字贸易博览会、智慧城市与智能经济博览会等国际国内重大赛事活动设置优秀人工智能终端产品展览展示。扩大数字消费领域人工智能终端产品供给，重点在交通枢纽、大型商超等大客流、高密度区域建设一批人工智能终端新产品消费体验中心，加快新产品首发首秀首展。支持直播、电商平台企业开设人工智能终端专区，加大新产品推广应用力度</w:t>
      </w:r>
      <w:r>
        <w:rPr>
          <w:rFonts w:hint="eastAsia" w:ascii="仿宋_GB2312"/>
          <w:bCs/>
          <w:szCs w:val="32"/>
        </w:rPr>
        <w:t>，开展消费类终端以旧换新</w:t>
      </w:r>
      <w:r>
        <w:rPr>
          <w:rFonts w:ascii="仿宋_GB2312"/>
          <w:bCs/>
          <w:szCs w:val="32"/>
        </w:rPr>
        <w:t>。</w:t>
      </w:r>
    </w:p>
    <w:p w14:paraId="03DD91D4">
      <w:pPr>
        <w:numPr>
          <w:ilvl w:val="1"/>
          <w:numId w:val="7"/>
        </w:numPr>
        <w:spacing w:line="600" w:lineRule="exact"/>
        <w:ind w:firstLine="640" w:firstLineChars="200"/>
        <w:outlineLvl w:val="1"/>
        <w:rPr>
          <w:rFonts w:eastAsia="楷体_GB2312"/>
          <w:bCs/>
          <w:szCs w:val="32"/>
        </w:rPr>
      </w:pPr>
      <w:r>
        <w:rPr>
          <w:rFonts w:ascii="楷体_GB2312" w:eastAsia="楷体_GB2312"/>
          <w:bCs/>
          <w:szCs w:val="32"/>
        </w:rPr>
        <w:t>提升产业生态吸引力</w:t>
      </w:r>
    </w:p>
    <w:p w14:paraId="64C37A0F">
      <w:pPr>
        <w:numPr>
          <w:ilvl w:val="2"/>
          <w:numId w:val="8"/>
        </w:numPr>
        <w:tabs>
          <w:tab w:val="left" w:pos="0"/>
        </w:tabs>
        <w:adjustRightInd w:val="0"/>
        <w:spacing w:line="600" w:lineRule="exact"/>
        <w:ind w:firstLine="643" w:firstLineChars="200"/>
        <w:outlineLvl w:val="2"/>
        <w:rPr>
          <w:b/>
          <w:szCs w:val="32"/>
        </w:rPr>
      </w:pPr>
      <w:r>
        <w:rPr>
          <w:rFonts w:ascii="仿宋_GB2312"/>
          <w:b/>
          <w:szCs w:val="32"/>
        </w:rPr>
        <w:t>优化公共服务。</w:t>
      </w:r>
      <w:r>
        <w:rPr>
          <w:rFonts w:ascii="仿宋_GB2312"/>
          <w:bCs/>
          <w:szCs w:val="32"/>
        </w:rPr>
        <w:t>鼓励数字化转型促进中心、软件赋能中心等数字化服务平台拓展人工智能终端服务，强化算力共享、算法优化、数据标注等服务供给。支持有条件的地市建设人工智能终端概念验证、中试、新品导入等公共服务平台建设，促进新型人工智能终端小批量、敏捷化产品验证和试产。</w:t>
      </w:r>
    </w:p>
    <w:p w14:paraId="7B052267">
      <w:pPr>
        <w:numPr>
          <w:ilvl w:val="2"/>
          <w:numId w:val="8"/>
        </w:numPr>
        <w:tabs>
          <w:tab w:val="left" w:pos="0"/>
        </w:tabs>
        <w:adjustRightInd w:val="0"/>
        <w:spacing w:line="600" w:lineRule="exact"/>
        <w:ind w:firstLine="643" w:firstLineChars="200"/>
        <w:outlineLvl w:val="2"/>
        <w:rPr>
          <w:b/>
          <w:szCs w:val="32"/>
        </w:rPr>
      </w:pPr>
      <w:r>
        <w:rPr>
          <w:rFonts w:ascii="仿宋_GB2312"/>
          <w:b/>
          <w:szCs w:val="32"/>
        </w:rPr>
        <w:t>培育开源生态。</w:t>
      </w:r>
      <w:r>
        <w:rPr>
          <w:rFonts w:ascii="仿宋_GB2312"/>
          <w:bCs/>
          <w:szCs w:val="32"/>
        </w:rPr>
        <w:t>推动人工智能开源社区实体化建设，支持高校、科研机构等面向人工智能终端领域打造产业生态创新空间，推动产学研资源一体化供给，联合开发面向行业应用的数据集、知识库与开发框架等。加强开源文化建设，深化开展</w:t>
      </w:r>
      <w:r>
        <w:rPr>
          <w:bCs/>
          <w:szCs w:val="32"/>
        </w:rPr>
        <w:t>“</w:t>
      </w:r>
      <w:r>
        <w:rPr>
          <w:rFonts w:ascii="仿宋_GB2312"/>
          <w:bCs/>
          <w:szCs w:val="32"/>
        </w:rPr>
        <w:t>浙里源生态</w:t>
      </w:r>
      <w:r>
        <w:rPr>
          <w:bCs/>
          <w:szCs w:val="32"/>
        </w:rPr>
        <w:t>”</w:t>
      </w:r>
      <w:r>
        <w:rPr>
          <w:rFonts w:ascii="仿宋_GB2312"/>
          <w:bCs/>
          <w:szCs w:val="32"/>
        </w:rPr>
        <w:t>等系列品牌活动。</w:t>
      </w:r>
    </w:p>
    <w:p w14:paraId="7A8A4800">
      <w:pPr>
        <w:numPr>
          <w:ilvl w:val="2"/>
          <w:numId w:val="8"/>
        </w:numPr>
        <w:tabs>
          <w:tab w:val="left" w:pos="0"/>
        </w:tabs>
        <w:adjustRightInd w:val="0"/>
        <w:spacing w:line="600" w:lineRule="exact"/>
        <w:ind w:firstLine="643" w:firstLineChars="200"/>
        <w:outlineLvl w:val="2"/>
        <w:rPr>
          <w:b/>
          <w:szCs w:val="32"/>
        </w:rPr>
      </w:pPr>
      <w:r>
        <w:rPr>
          <w:rFonts w:ascii="仿宋_GB2312"/>
          <w:b/>
          <w:szCs w:val="32"/>
        </w:rPr>
        <w:t>推动开放合作。</w:t>
      </w:r>
      <w:r>
        <w:rPr>
          <w:rFonts w:ascii="仿宋_GB2312"/>
          <w:bCs/>
          <w:szCs w:val="32"/>
        </w:rPr>
        <w:t>深化</w:t>
      </w:r>
      <w:r>
        <w:rPr>
          <w:bCs/>
          <w:szCs w:val="32"/>
        </w:rPr>
        <w:t>“</w:t>
      </w:r>
      <w:r>
        <w:rPr>
          <w:rFonts w:ascii="仿宋_GB2312"/>
          <w:bCs/>
          <w:szCs w:val="32"/>
        </w:rPr>
        <w:t>浙货行天下</w:t>
      </w:r>
      <w:r>
        <w:rPr>
          <w:bCs/>
          <w:szCs w:val="32"/>
        </w:rPr>
        <w:t>”</w:t>
      </w:r>
      <w:r>
        <w:rPr>
          <w:rFonts w:ascii="仿宋_GB2312"/>
          <w:bCs/>
          <w:szCs w:val="32"/>
        </w:rPr>
        <w:t>活动，推进金砖国家特殊经济区中国合作中心、中非数字技术合作中心等平台建设，支持人工智能终端企业携产品抱团出海，积极拓展</w:t>
      </w:r>
      <w:r>
        <w:rPr>
          <w:bCs/>
          <w:szCs w:val="32"/>
        </w:rPr>
        <w:t>“</w:t>
      </w:r>
      <w:r>
        <w:rPr>
          <w:rFonts w:ascii="仿宋_GB2312"/>
          <w:bCs/>
          <w:szCs w:val="32"/>
        </w:rPr>
        <w:t>一带一路</w:t>
      </w:r>
      <w:r>
        <w:rPr>
          <w:bCs/>
          <w:szCs w:val="32"/>
        </w:rPr>
        <w:t>”</w:t>
      </w:r>
      <w:r>
        <w:rPr>
          <w:rFonts w:ascii="仿宋_GB2312"/>
          <w:bCs/>
          <w:szCs w:val="32"/>
        </w:rPr>
        <w:t>沿线布局，深度融入全球产业链。</w:t>
      </w:r>
    </w:p>
    <w:p w14:paraId="038F40B6">
      <w:pPr>
        <w:numPr>
          <w:ilvl w:val="0"/>
          <w:numId w:val="8"/>
        </w:numPr>
        <w:spacing w:line="600" w:lineRule="exact"/>
        <w:ind w:firstLine="643" w:firstLineChars="200"/>
        <w:outlineLvl w:val="0"/>
        <w:rPr>
          <w:rFonts w:eastAsia="黑体"/>
          <w:b/>
          <w:bCs/>
          <w:kern w:val="44"/>
          <w:szCs w:val="32"/>
        </w:rPr>
      </w:pPr>
      <w:r>
        <w:rPr>
          <w:rFonts w:ascii="黑体" w:hAnsi="黑体" w:eastAsia="黑体"/>
          <w:b/>
          <w:bCs/>
          <w:kern w:val="44"/>
          <w:szCs w:val="32"/>
        </w:rPr>
        <w:t>保障措施</w:t>
      </w:r>
    </w:p>
    <w:p w14:paraId="0238CEF4">
      <w:pPr>
        <w:numPr>
          <w:ilvl w:val="1"/>
          <w:numId w:val="9"/>
        </w:numPr>
        <w:spacing w:line="600" w:lineRule="exact"/>
        <w:ind w:firstLine="643" w:firstLineChars="200"/>
        <w:outlineLvl w:val="1"/>
        <w:rPr>
          <w:bCs/>
          <w:szCs w:val="32"/>
        </w:rPr>
      </w:pPr>
      <w:r>
        <w:rPr>
          <w:rFonts w:ascii="楷体_GB2312" w:eastAsia="楷体_GB2312"/>
          <w:b/>
          <w:szCs w:val="32"/>
        </w:rPr>
        <w:t>强化组织领导。</w:t>
      </w:r>
      <w:r>
        <w:rPr>
          <w:rFonts w:ascii="仿宋_GB2312"/>
          <w:bCs/>
          <w:szCs w:val="32"/>
        </w:rPr>
        <w:t>发挥省制造业高质量发展（数字经济发展）领导小组作用，强化省市县三级联动、部门高效协同。建立人工智能终端重点企业、产品、技术、场景、项目五张清单，加强对重点地区、企业、项目服务指导，全面落实各项目标任务。</w:t>
      </w:r>
    </w:p>
    <w:p w14:paraId="045B16CD">
      <w:pPr>
        <w:numPr>
          <w:ilvl w:val="1"/>
          <w:numId w:val="9"/>
        </w:numPr>
        <w:spacing w:line="600" w:lineRule="exact"/>
        <w:ind w:firstLine="643" w:firstLineChars="200"/>
        <w:outlineLvl w:val="1"/>
        <w:rPr>
          <w:rFonts w:eastAsia="楷体_GB2312"/>
          <w:b/>
          <w:szCs w:val="32"/>
        </w:rPr>
      </w:pPr>
      <w:r>
        <w:rPr>
          <w:rFonts w:ascii="楷体_GB2312" w:eastAsia="楷体_GB2312"/>
          <w:b/>
          <w:szCs w:val="32"/>
        </w:rPr>
        <w:t>强化政策支持。</w:t>
      </w:r>
      <w:r>
        <w:rPr>
          <w:rFonts w:ascii="仿宋_GB2312"/>
          <w:bCs/>
          <w:szCs w:val="32"/>
        </w:rPr>
        <w:t>结合大规模设备更新和消费品以旧换新行动，统筹用好科技创新和技术改造再贷款、超长期特别国债</w:t>
      </w:r>
      <w:r>
        <w:rPr>
          <w:rFonts w:hint="eastAsia" w:ascii="仿宋_GB2312"/>
          <w:bCs/>
          <w:szCs w:val="32"/>
        </w:rPr>
        <w:t>、首台（套）工程化攻关</w:t>
      </w:r>
      <w:r>
        <w:rPr>
          <w:rFonts w:ascii="仿宋_GB2312"/>
          <w:bCs/>
          <w:szCs w:val="32"/>
        </w:rPr>
        <w:t>等政策工具，综合运用研发费用加计扣除、高新技术企业所得税优惠等政策，引导社会资金和金融资本支持</w:t>
      </w:r>
      <w:r>
        <w:rPr>
          <w:rFonts w:hint="eastAsia" w:ascii="仿宋_GB2312"/>
          <w:bCs/>
          <w:szCs w:val="32"/>
        </w:rPr>
        <w:t>人工智能终端</w:t>
      </w:r>
      <w:r>
        <w:rPr>
          <w:rFonts w:ascii="仿宋_GB2312"/>
          <w:bCs/>
          <w:szCs w:val="32"/>
        </w:rPr>
        <w:t>产业创新发展</w:t>
      </w:r>
      <w:r>
        <w:rPr>
          <w:rFonts w:hint="eastAsia" w:ascii="仿宋_GB2312"/>
          <w:bCs/>
          <w:szCs w:val="32"/>
        </w:rPr>
        <w:t>，</w:t>
      </w:r>
      <w:r>
        <w:rPr>
          <w:rFonts w:ascii="仿宋_GB2312"/>
          <w:bCs/>
          <w:szCs w:val="32"/>
        </w:rPr>
        <w:t>加强</w:t>
      </w:r>
      <w:r>
        <w:rPr>
          <w:bCs/>
          <w:szCs w:val="32"/>
        </w:rPr>
        <w:t>“</w:t>
      </w:r>
      <w:r>
        <w:rPr>
          <w:rFonts w:ascii="仿宋_GB2312"/>
          <w:bCs/>
          <w:szCs w:val="32"/>
        </w:rPr>
        <w:t>算力券</w:t>
      </w:r>
      <w:r>
        <w:rPr>
          <w:bCs/>
          <w:szCs w:val="32"/>
        </w:rPr>
        <w:t>”</w:t>
      </w:r>
      <w:r>
        <w:rPr>
          <w:rFonts w:ascii="仿宋_GB2312"/>
          <w:bCs/>
          <w:szCs w:val="32"/>
        </w:rPr>
        <w:t>对人工智能终端企业支持作用，推动人工智能终端技术研发和产业化应用。</w:t>
      </w:r>
    </w:p>
    <w:p w14:paraId="0649C5D3">
      <w:pPr>
        <w:numPr>
          <w:ilvl w:val="1"/>
          <w:numId w:val="9"/>
        </w:numPr>
        <w:spacing w:line="600" w:lineRule="exact"/>
        <w:ind w:firstLine="643" w:firstLineChars="200"/>
        <w:outlineLvl w:val="1"/>
        <w:rPr>
          <w:rFonts w:eastAsia="楷体_GB2312"/>
          <w:b/>
          <w:szCs w:val="32"/>
        </w:rPr>
      </w:pPr>
      <w:r>
        <w:rPr>
          <w:rFonts w:ascii="楷体_GB2312" w:eastAsia="楷体_GB2312"/>
          <w:b/>
          <w:szCs w:val="32"/>
        </w:rPr>
        <w:t>强化安全保障。</w:t>
      </w:r>
      <w:r>
        <w:rPr>
          <w:rFonts w:ascii="仿宋_GB2312"/>
          <w:bCs/>
          <w:szCs w:val="32"/>
        </w:rPr>
        <w:t>建立人工智能终端监管与治理机制，鼓励人工智能终端企业开展数据安全能力成熟度评估和数据安全管理认证，落实个人信息保护制度规范，健全数据收集使用报备和安全评估、个人信息安全事件投诉举报和责任追究等机制。</w:t>
      </w:r>
    </w:p>
    <w:p w14:paraId="1F98A5A9">
      <w:pPr>
        <w:spacing w:line="580" w:lineRule="exact"/>
        <w:rPr>
          <w:rFonts w:hint="eastAsia" w:ascii="仿宋_GB2312" w:eastAsia="仿宋_GB2312"/>
          <w:lang w:eastAsia="zh-CN"/>
        </w:rPr>
      </w:pPr>
      <w:bookmarkStart w:id="0" w:name="抄送"/>
      <w:bookmarkEnd w:id="0"/>
    </w:p>
    <w:p w14:paraId="2C4281F9"/>
    <w:sectPr>
      <w:pgSz w:w="11906" w:h="16838"/>
      <w:pgMar w:top="1814" w:right="1588" w:bottom="1588" w:left="1588" w:header="851" w:footer="1418" w:gutter="0"/>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906"/>
    <w:multiLevelType w:val="multilevel"/>
    <w:tmpl w:val="00532906"/>
    <w:lvl w:ilvl="0" w:tentative="0">
      <w:start w:val="1"/>
      <w:numFmt w:val="chineseCounting"/>
      <w:suff w:val="nothing"/>
      <w:lvlText w:val="%1、"/>
      <w:lvlJc w:val="left"/>
      <w:pPr>
        <w:ind w:left="0" w:firstLine="0"/>
      </w:pPr>
    </w:lvl>
    <w:lvl w:ilvl="1" w:tentative="0">
      <w:start w:val="1"/>
      <w:numFmt w:val="chineseCounting"/>
      <w:suff w:val="nothing"/>
      <w:lvlText w:val="（%2）"/>
      <w:lvlJc w:val="left"/>
      <w:pPr>
        <w:ind w:left="0" w:firstLine="0"/>
      </w:pPr>
      <w:rPr>
        <w:rFonts w:hint="eastAsia" w:ascii="楷体_GB2312" w:eastAsia="楷体_GB2312"/>
      </w:rPr>
    </w:lvl>
    <w:lvl w:ilvl="2" w:tentative="0">
      <w:start w:val="1"/>
      <w:numFmt w:val="decimal"/>
      <w:suff w:val="nothing"/>
      <w:lvlText w:val="%3．"/>
      <w:lvlJc w:val="left"/>
      <w:pPr>
        <w:tabs>
          <w:tab w:val="left" w:pos="0"/>
        </w:tabs>
        <w:ind w:left="0" w:firstLine="400"/>
      </w:pPr>
      <w:rPr>
        <w:rFonts w:hint="eastAsia" w:ascii="Times New Roman" w:hAnsi="Times New Roman" w:eastAsia="宋体" w:cs="Times New Roman"/>
        <w:b/>
        <w:bCs/>
      </w:rPr>
    </w:lvl>
    <w:lvl w:ilvl="3" w:tentative="0">
      <w:start w:val="1"/>
      <w:numFmt w:val="decimal"/>
      <w:suff w:val="nothing"/>
      <w:lvlText w:val="（%4）"/>
      <w:lvlJc w:val="left"/>
      <w:pPr>
        <w:ind w:left="0" w:firstLine="402"/>
      </w:pPr>
      <w:rPr>
        <w:rFonts w:hint="eastAsia" w:ascii="宋体" w:hAnsi="宋体" w:eastAsia="宋体"/>
      </w:rPr>
    </w:lvl>
    <w:lvl w:ilvl="4" w:tentative="0">
      <w:start w:val="1"/>
      <w:numFmt w:val="decimalEnclosedCircleChinese"/>
      <w:suff w:val="nothing"/>
      <w:lvlText w:val="%5"/>
      <w:lvlJc w:val="left"/>
      <w:pPr>
        <w:ind w:left="0" w:firstLine="402"/>
      </w:pPr>
      <w:rPr>
        <w:rFonts w:hint="eastAsia" w:ascii="宋体" w:hAnsi="宋体" w:eastAsia="宋体"/>
      </w:rPr>
    </w:lvl>
    <w:lvl w:ilvl="5" w:tentative="0">
      <w:start w:val="1"/>
      <w:numFmt w:val="decimal"/>
      <w:suff w:val="nothing"/>
      <w:lvlText w:val="%6）"/>
      <w:lvlJc w:val="left"/>
      <w:pPr>
        <w:ind w:left="0" w:firstLine="402"/>
      </w:pPr>
      <w:rPr>
        <w:rFonts w:hint="eastAsia" w:ascii="宋体" w:hAnsi="宋体" w:eastAsia="宋体"/>
      </w:rPr>
    </w:lvl>
    <w:lvl w:ilvl="6" w:tentative="0">
      <w:start w:val="1"/>
      <w:numFmt w:val="lowerLetter"/>
      <w:suff w:val="nothing"/>
      <w:lvlText w:val="%7．"/>
      <w:lvlJc w:val="left"/>
      <w:pPr>
        <w:ind w:left="0" w:firstLine="402"/>
      </w:pPr>
      <w:rPr>
        <w:rFonts w:hint="eastAsia" w:ascii="宋体" w:hAnsi="宋体" w:eastAsia="宋体"/>
      </w:rPr>
    </w:lvl>
    <w:lvl w:ilvl="7" w:tentative="0">
      <w:start w:val="1"/>
      <w:numFmt w:val="lowerLetter"/>
      <w:suff w:val="nothing"/>
      <w:lvlText w:val="%8）"/>
      <w:lvlJc w:val="left"/>
      <w:pPr>
        <w:ind w:left="0" w:firstLine="402"/>
      </w:pPr>
      <w:rPr>
        <w:rFonts w:hint="eastAsia" w:ascii="宋体" w:hAnsi="宋体" w:eastAsia="宋体"/>
      </w:rPr>
    </w:lvl>
    <w:lvl w:ilvl="8" w:tentative="0">
      <w:start w:val="1"/>
      <w:numFmt w:val="lowerRoman"/>
      <w:suff w:val="nothing"/>
      <w:lvlText w:val="%9 "/>
      <w:lvlJc w:val="left"/>
      <w:pPr>
        <w:ind w:left="0" w:firstLine="402"/>
      </w:pPr>
      <w:rPr>
        <w:rFonts w:hint="eastAsia" w:ascii="宋体" w:hAnsi="宋体" w:eastAsia="宋体"/>
      </w:rPr>
    </w:lvl>
  </w:abstractNum>
  <w:abstractNum w:abstractNumId="1">
    <w:nsid w:val="2C7F2C8D"/>
    <w:multiLevelType w:val="multilevel"/>
    <w:tmpl w:val="2C7F2C8D"/>
    <w:lvl w:ilvl="0" w:tentative="0">
      <w:start w:val="3"/>
      <w:numFmt w:val="chineseCounting"/>
      <w:suff w:val="nothing"/>
      <w:lvlText w:val="%1、"/>
      <w:lvlJc w:val="left"/>
      <w:pPr>
        <w:ind w:left="0" w:firstLine="0"/>
      </w:pPr>
      <w:rPr>
        <w:rFonts w:hint="eastAsia"/>
      </w:rPr>
    </w:lvl>
    <w:lvl w:ilvl="1" w:tentative="0">
      <w:start w:val="5"/>
      <w:numFmt w:val="chineseCounting"/>
      <w:suff w:val="nothing"/>
      <w:lvlText w:val="（%2）"/>
      <w:lvlJc w:val="left"/>
      <w:pPr>
        <w:ind w:left="0" w:firstLine="0"/>
      </w:pPr>
      <w:rPr>
        <w:rFonts w:hint="eastAsia" w:ascii="楷体_GB2312" w:eastAsia="楷体_GB2312"/>
      </w:rPr>
    </w:lvl>
    <w:lvl w:ilvl="2" w:tentative="0">
      <w:start w:val="13"/>
      <w:numFmt w:val="decimal"/>
      <w:suff w:val="nothing"/>
      <w:lvlText w:val="%3．"/>
      <w:lvlJc w:val="left"/>
      <w:pPr>
        <w:ind w:left="0" w:firstLine="400"/>
      </w:pPr>
      <w:rPr>
        <w:rFonts w:hint="eastAsia" w:ascii="Times New Roman" w:hAnsi="Times New Roman" w:eastAsia="宋体" w:cs="Times New Roman"/>
        <w:b/>
        <w:bCs/>
      </w:rPr>
    </w:lvl>
    <w:lvl w:ilvl="3" w:tentative="0">
      <w:start w:val="1"/>
      <w:numFmt w:val="decimal"/>
      <w:suff w:val="nothing"/>
      <w:lvlText w:val="（%4）"/>
      <w:lvlJc w:val="left"/>
      <w:pPr>
        <w:ind w:left="0" w:firstLine="402"/>
      </w:pPr>
      <w:rPr>
        <w:rFonts w:hint="eastAsia" w:ascii="宋体" w:hAnsi="宋体" w:eastAsia="宋体"/>
      </w:rPr>
    </w:lvl>
    <w:lvl w:ilvl="4" w:tentative="0">
      <w:start w:val="1"/>
      <w:numFmt w:val="decimalEnclosedCircleChinese"/>
      <w:suff w:val="nothing"/>
      <w:lvlText w:val="%5"/>
      <w:lvlJc w:val="left"/>
      <w:pPr>
        <w:ind w:left="0" w:firstLine="402"/>
      </w:pPr>
      <w:rPr>
        <w:rFonts w:hint="eastAsia" w:ascii="宋体" w:hAnsi="宋体" w:eastAsia="宋体"/>
      </w:rPr>
    </w:lvl>
    <w:lvl w:ilvl="5" w:tentative="0">
      <w:start w:val="1"/>
      <w:numFmt w:val="decimal"/>
      <w:suff w:val="nothing"/>
      <w:lvlText w:val="%6）"/>
      <w:lvlJc w:val="left"/>
      <w:pPr>
        <w:ind w:left="0" w:firstLine="402"/>
      </w:pPr>
      <w:rPr>
        <w:rFonts w:hint="eastAsia" w:ascii="宋体" w:hAnsi="宋体" w:eastAsia="宋体"/>
      </w:rPr>
    </w:lvl>
    <w:lvl w:ilvl="6" w:tentative="0">
      <w:start w:val="1"/>
      <w:numFmt w:val="lowerLetter"/>
      <w:suff w:val="nothing"/>
      <w:lvlText w:val="%7．"/>
      <w:lvlJc w:val="left"/>
      <w:pPr>
        <w:ind w:left="0" w:firstLine="402"/>
      </w:pPr>
      <w:rPr>
        <w:rFonts w:hint="eastAsia" w:ascii="宋体" w:hAnsi="宋体" w:eastAsia="宋体"/>
      </w:rPr>
    </w:lvl>
    <w:lvl w:ilvl="7" w:tentative="0">
      <w:start w:val="1"/>
      <w:numFmt w:val="lowerLetter"/>
      <w:suff w:val="nothing"/>
      <w:lvlText w:val="%8）"/>
      <w:lvlJc w:val="left"/>
      <w:pPr>
        <w:ind w:left="0" w:firstLine="402"/>
      </w:pPr>
      <w:rPr>
        <w:rFonts w:hint="eastAsia" w:ascii="宋体" w:hAnsi="宋体" w:eastAsia="宋体"/>
      </w:rPr>
    </w:lvl>
    <w:lvl w:ilvl="8" w:tentative="0">
      <w:start w:val="1"/>
      <w:numFmt w:val="lowerRoman"/>
      <w:suff w:val="nothing"/>
      <w:lvlText w:val="%9 "/>
      <w:lvlJc w:val="left"/>
      <w:pPr>
        <w:ind w:left="0" w:firstLine="402"/>
      </w:pPr>
      <w:rPr>
        <w:rFonts w:hint="eastAsia" w:ascii="宋体" w:hAnsi="宋体" w:eastAsia="宋体"/>
      </w:rPr>
    </w:lvl>
  </w:abstractNum>
  <w:abstractNum w:abstractNumId="2">
    <w:nsid w:val="40E54FC1"/>
    <w:multiLevelType w:val="multilevel"/>
    <w:tmpl w:val="40E54FC1"/>
    <w:lvl w:ilvl="0" w:tentative="0">
      <w:start w:val="3"/>
      <w:numFmt w:val="chineseCounting"/>
      <w:suff w:val="nothing"/>
      <w:lvlText w:val="%1、"/>
      <w:lvlJc w:val="left"/>
      <w:pPr>
        <w:ind w:left="0" w:firstLine="0"/>
      </w:pPr>
      <w:rPr>
        <w:rFonts w:hint="eastAsia"/>
      </w:rPr>
    </w:lvl>
    <w:lvl w:ilvl="1" w:tentative="0">
      <w:start w:val="2"/>
      <w:numFmt w:val="chineseCounting"/>
      <w:suff w:val="nothing"/>
      <w:lvlText w:val="（%2）"/>
      <w:lvlJc w:val="left"/>
      <w:pPr>
        <w:ind w:left="0" w:firstLine="0"/>
      </w:pPr>
      <w:rPr>
        <w:rFonts w:hint="eastAsia" w:ascii="楷体_GB2312" w:eastAsia="楷体_GB2312"/>
      </w:rPr>
    </w:lvl>
    <w:lvl w:ilvl="2" w:tentative="0">
      <w:start w:val="4"/>
      <w:numFmt w:val="decimal"/>
      <w:suff w:val="nothing"/>
      <w:lvlText w:val="%3．"/>
      <w:lvlJc w:val="left"/>
      <w:pPr>
        <w:ind w:left="0" w:firstLine="400"/>
      </w:pPr>
      <w:rPr>
        <w:rFonts w:hint="eastAsia" w:ascii="Times New Roman" w:hAnsi="Times New Roman" w:eastAsia="宋体" w:cs="Times New Roman"/>
        <w:b/>
        <w:bCs/>
      </w:rPr>
    </w:lvl>
    <w:lvl w:ilvl="3" w:tentative="0">
      <w:start w:val="1"/>
      <w:numFmt w:val="decimal"/>
      <w:suff w:val="nothing"/>
      <w:lvlText w:val="（%4）"/>
      <w:lvlJc w:val="left"/>
      <w:pPr>
        <w:ind w:left="0" w:firstLine="402"/>
      </w:pPr>
      <w:rPr>
        <w:rFonts w:hint="eastAsia" w:ascii="宋体" w:hAnsi="宋体" w:eastAsia="宋体"/>
      </w:rPr>
    </w:lvl>
    <w:lvl w:ilvl="4" w:tentative="0">
      <w:start w:val="1"/>
      <w:numFmt w:val="decimalEnclosedCircleChinese"/>
      <w:suff w:val="nothing"/>
      <w:lvlText w:val="%5"/>
      <w:lvlJc w:val="left"/>
      <w:pPr>
        <w:ind w:left="0" w:firstLine="402"/>
      </w:pPr>
      <w:rPr>
        <w:rFonts w:hint="eastAsia" w:ascii="宋体" w:hAnsi="宋体" w:eastAsia="宋体"/>
      </w:rPr>
    </w:lvl>
    <w:lvl w:ilvl="5" w:tentative="0">
      <w:start w:val="1"/>
      <w:numFmt w:val="decimal"/>
      <w:suff w:val="nothing"/>
      <w:lvlText w:val="%6）"/>
      <w:lvlJc w:val="left"/>
      <w:pPr>
        <w:ind w:left="0" w:firstLine="402"/>
      </w:pPr>
      <w:rPr>
        <w:rFonts w:hint="eastAsia" w:ascii="宋体" w:hAnsi="宋体" w:eastAsia="宋体"/>
      </w:rPr>
    </w:lvl>
    <w:lvl w:ilvl="6" w:tentative="0">
      <w:start w:val="1"/>
      <w:numFmt w:val="lowerLetter"/>
      <w:suff w:val="nothing"/>
      <w:lvlText w:val="%7．"/>
      <w:lvlJc w:val="left"/>
      <w:pPr>
        <w:ind w:left="0" w:firstLine="402"/>
      </w:pPr>
      <w:rPr>
        <w:rFonts w:hint="eastAsia" w:ascii="宋体" w:hAnsi="宋体" w:eastAsia="宋体"/>
      </w:rPr>
    </w:lvl>
    <w:lvl w:ilvl="7" w:tentative="0">
      <w:start w:val="1"/>
      <w:numFmt w:val="lowerLetter"/>
      <w:suff w:val="nothing"/>
      <w:lvlText w:val="%8）"/>
      <w:lvlJc w:val="left"/>
      <w:pPr>
        <w:ind w:left="0" w:firstLine="402"/>
      </w:pPr>
      <w:rPr>
        <w:rFonts w:hint="eastAsia" w:ascii="宋体" w:hAnsi="宋体" w:eastAsia="宋体"/>
      </w:rPr>
    </w:lvl>
    <w:lvl w:ilvl="8" w:tentative="0">
      <w:start w:val="1"/>
      <w:numFmt w:val="lowerRoman"/>
      <w:suff w:val="nothing"/>
      <w:lvlText w:val="%9 "/>
      <w:lvlJc w:val="left"/>
      <w:pPr>
        <w:ind w:left="0" w:firstLine="402"/>
      </w:pPr>
      <w:rPr>
        <w:rFonts w:hint="eastAsia" w:ascii="宋体" w:hAnsi="宋体" w:eastAsia="宋体"/>
      </w:rPr>
    </w:lvl>
  </w:abstractNum>
  <w:abstractNum w:abstractNumId="3">
    <w:nsid w:val="5141763C"/>
    <w:multiLevelType w:val="multilevel"/>
    <w:tmpl w:val="5141763C"/>
    <w:lvl w:ilvl="0" w:tentative="0">
      <w:start w:val="3"/>
      <w:numFmt w:val="chineseCounting"/>
      <w:suff w:val="nothing"/>
      <w:lvlText w:val="%1、"/>
      <w:lvlJc w:val="left"/>
      <w:pPr>
        <w:ind w:left="0" w:firstLine="0"/>
      </w:pPr>
      <w:rPr>
        <w:rFonts w:hint="eastAsia"/>
      </w:rPr>
    </w:lvl>
    <w:lvl w:ilvl="1" w:tentative="0">
      <w:start w:val="3"/>
      <w:numFmt w:val="chineseCounting"/>
      <w:suff w:val="nothing"/>
      <w:lvlText w:val="（%2）"/>
      <w:lvlJc w:val="left"/>
      <w:pPr>
        <w:ind w:left="0" w:firstLine="0"/>
      </w:pPr>
      <w:rPr>
        <w:rFonts w:hint="eastAsia" w:ascii="楷体_GB2312" w:eastAsia="楷体_GB2312"/>
      </w:rPr>
    </w:lvl>
    <w:lvl w:ilvl="2" w:tentative="0">
      <w:start w:val="7"/>
      <w:numFmt w:val="decimal"/>
      <w:suff w:val="nothing"/>
      <w:lvlText w:val="%3．"/>
      <w:lvlJc w:val="left"/>
      <w:pPr>
        <w:ind w:left="0" w:firstLine="400"/>
      </w:pPr>
      <w:rPr>
        <w:rFonts w:hint="eastAsia" w:ascii="Times New Roman" w:hAnsi="Times New Roman" w:eastAsia="宋体" w:cs="Times New Roman"/>
        <w:b/>
        <w:bCs/>
      </w:rPr>
    </w:lvl>
    <w:lvl w:ilvl="3" w:tentative="0">
      <w:start w:val="1"/>
      <w:numFmt w:val="decimal"/>
      <w:suff w:val="nothing"/>
      <w:lvlText w:val="（%4）"/>
      <w:lvlJc w:val="left"/>
      <w:pPr>
        <w:ind w:left="0" w:firstLine="402"/>
      </w:pPr>
      <w:rPr>
        <w:rFonts w:hint="eastAsia" w:ascii="宋体" w:hAnsi="宋体" w:eastAsia="宋体"/>
      </w:rPr>
    </w:lvl>
    <w:lvl w:ilvl="4" w:tentative="0">
      <w:start w:val="1"/>
      <w:numFmt w:val="decimalEnclosedCircleChinese"/>
      <w:suff w:val="nothing"/>
      <w:lvlText w:val="%5"/>
      <w:lvlJc w:val="left"/>
      <w:pPr>
        <w:ind w:left="0" w:firstLine="402"/>
      </w:pPr>
      <w:rPr>
        <w:rFonts w:hint="eastAsia" w:ascii="宋体" w:hAnsi="宋体" w:eastAsia="宋体"/>
      </w:rPr>
    </w:lvl>
    <w:lvl w:ilvl="5" w:tentative="0">
      <w:start w:val="1"/>
      <w:numFmt w:val="decimal"/>
      <w:suff w:val="nothing"/>
      <w:lvlText w:val="%6）"/>
      <w:lvlJc w:val="left"/>
      <w:pPr>
        <w:ind w:left="0" w:firstLine="402"/>
      </w:pPr>
      <w:rPr>
        <w:rFonts w:hint="eastAsia" w:ascii="宋体" w:hAnsi="宋体" w:eastAsia="宋体"/>
      </w:rPr>
    </w:lvl>
    <w:lvl w:ilvl="6" w:tentative="0">
      <w:start w:val="1"/>
      <w:numFmt w:val="lowerLetter"/>
      <w:suff w:val="nothing"/>
      <w:lvlText w:val="%7．"/>
      <w:lvlJc w:val="left"/>
      <w:pPr>
        <w:ind w:left="0" w:firstLine="402"/>
      </w:pPr>
      <w:rPr>
        <w:rFonts w:hint="eastAsia" w:ascii="宋体" w:hAnsi="宋体" w:eastAsia="宋体"/>
      </w:rPr>
    </w:lvl>
    <w:lvl w:ilvl="7" w:tentative="0">
      <w:start w:val="1"/>
      <w:numFmt w:val="lowerLetter"/>
      <w:suff w:val="nothing"/>
      <w:lvlText w:val="%8）"/>
      <w:lvlJc w:val="left"/>
      <w:pPr>
        <w:ind w:left="0" w:firstLine="402"/>
      </w:pPr>
      <w:rPr>
        <w:rFonts w:hint="eastAsia" w:ascii="宋体" w:hAnsi="宋体" w:eastAsia="宋体"/>
      </w:rPr>
    </w:lvl>
    <w:lvl w:ilvl="8" w:tentative="0">
      <w:start w:val="1"/>
      <w:numFmt w:val="lowerRoman"/>
      <w:suff w:val="nothing"/>
      <w:lvlText w:val="%9 "/>
      <w:lvlJc w:val="left"/>
      <w:pPr>
        <w:ind w:left="0" w:firstLine="402"/>
      </w:pPr>
      <w:rPr>
        <w:rFonts w:hint="eastAsia" w:ascii="宋体" w:hAnsi="宋体" w:eastAsia="宋体"/>
      </w:rPr>
    </w:lvl>
  </w:abstractNum>
  <w:abstractNum w:abstractNumId="4">
    <w:nsid w:val="521B1986"/>
    <w:multiLevelType w:val="multilevel"/>
    <w:tmpl w:val="521B1986"/>
    <w:lvl w:ilvl="0" w:tentative="0">
      <w:start w:val="1"/>
      <w:numFmt w:val="chineseCounting"/>
      <w:suff w:val="nothing"/>
      <w:lvlText w:val="%1、"/>
      <w:lvlJc w:val="left"/>
      <w:pPr>
        <w:ind w:left="0" w:firstLine="0"/>
      </w:pPr>
    </w:lvl>
    <w:lvl w:ilvl="1" w:tentative="0">
      <w:start w:val="1"/>
      <w:numFmt w:val="chineseCounting"/>
      <w:suff w:val="nothing"/>
      <w:lvlText w:val="（%2）"/>
      <w:lvlJc w:val="left"/>
      <w:pPr>
        <w:ind w:left="0" w:firstLine="0"/>
      </w:pPr>
      <w:rPr>
        <w:rFonts w:hint="eastAsia" w:ascii="楷体_GB2312" w:eastAsia="楷体_GB2312"/>
      </w:rPr>
    </w:lvl>
    <w:lvl w:ilvl="2" w:tentative="0">
      <w:start w:val="1"/>
      <w:numFmt w:val="decimal"/>
      <w:suff w:val="nothing"/>
      <w:lvlText w:val="%3．"/>
      <w:lvlJc w:val="left"/>
      <w:pPr>
        <w:tabs>
          <w:tab w:val="left" w:pos="0"/>
        </w:tabs>
        <w:ind w:left="0" w:firstLine="400"/>
      </w:pPr>
      <w:rPr>
        <w:rFonts w:hint="eastAsia" w:ascii="Times New Roman" w:hAnsi="Times New Roman" w:eastAsia="宋体" w:cs="Times New Roman"/>
        <w:b/>
        <w:bCs/>
      </w:rPr>
    </w:lvl>
    <w:lvl w:ilvl="3" w:tentative="0">
      <w:start w:val="1"/>
      <w:numFmt w:val="decimal"/>
      <w:suff w:val="nothing"/>
      <w:lvlText w:val="（%4）"/>
      <w:lvlJc w:val="left"/>
      <w:pPr>
        <w:ind w:left="0" w:firstLine="402"/>
      </w:pPr>
      <w:rPr>
        <w:rFonts w:hint="eastAsia" w:ascii="宋体" w:hAnsi="宋体" w:eastAsia="宋体"/>
      </w:rPr>
    </w:lvl>
    <w:lvl w:ilvl="4" w:tentative="0">
      <w:start w:val="1"/>
      <w:numFmt w:val="decimalEnclosedCircleChinese"/>
      <w:suff w:val="nothing"/>
      <w:lvlText w:val="%5"/>
      <w:lvlJc w:val="left"/>
      <w:pPr>
        <w:ind w:left="0" w:firstLine="402"/>
      </w:pPr>
      <w:rPr>
        <w:rFonts w:hint="eastAsia" w:ascii="宋体" w:hAnsi="宋体" w:eastAsia="宋体"/>
      </w:rPr>
    </w:lvl>
    <w:lvl w:ilvl="5" w:tentative="0">
      <w:start w:val="1"/>
      <w:numFmt w:val="decimal"/>
      <w:suff w:val="nothing"/>
      <w:lvlText w:val="%6）"/>
      <w:lvlJc w:val="left"/>
      <w:pPr>
        <w:ind w:left="0" w:firstLine="402"/>
      </w:pPr>
      <w:rPr>
        <w:rFonts w:hint="eastAsia" w:ascii="宋体" w:hAnsi="宋体" w:eastAsia="宋体"/>
      </w:rPr>
    </w:lvl>
    <w:lvl w:ilvl="6" w:tentative="0">
      <w:start w:val="1"/>
      <w:numFmt w:val="lowerLetter"/>
      <w:suff w:val="nothing"/>
      <w:lvlText w:val="%7．"/>
      <w:lvlJc w:val="left"/>
      <w:pPr>
        <w:ind w:left="0" w:firstLine="402"/>
      </w:pPr>
      <w:rPr>
        <w:rFonts w:hint="eastAsia" w:ascii="宋体" w:hAnsi="宋体" w:eastAsia="宋体"/>
      </w:rPr>
    </w:lvl>
    <w:lvl w:ilvl="7" w:tentative="0">
      <w:start w:val="1"/>
      <w:numFmt w:val="lowerLetter"/>
      <w:suff w:val="nothing"/>
      <w:lvlText w:val="%8）"/>
      <w:lvlJc w:val="left"/>
      <w:pPr>
        <w:ind w:left="0" w:firstLine="402"/>
      </w:pPr>
      <w:rPr>
        <w:rFonts w:hint="eastAsia" w:ascii="宋体" w:hAnsi="宋体" w:eastAsia="宋体"/>
      </w:rPr>
    </w:lvl>
    <w:lvl w:ilvl="8" w:tentative="0">
      <w:start w:val="1"/>
      <w:numFmt w:val="lowerRoman"/>
      <w:suff w:val="nothing"/>
      <w:lvlText w:val="%9 "/>
      <w:lvlJc w:val="left"/>
      <w:pPr>
        <w:ind w:left="0" w:firstLine="402"/>
      </w:pPr>
      <w:rPr>
        <w:rFonts w:hint="eastAsia" w:ascii="宋体" w:hAnsi="宋体" w:eastAsia="宋体"/>
      </w:rPr>
    </w:lvl>
  </w:abstractNum>
  <w:abstractNum w:abstractNumId="5">
    <w:nsid w:val="5F3A704F"/>
    <w:multiLevelType w:val="multilevel"/>
    <w:tmpl w:val="5F3A704F"/>
    <w:lvl w:ilvl="0" w:tentative="0">
      <w:start w:val="3"/>
      <w:numFmt w:val="chineseCounting"/>
      <w:suff w:val="nothing"/>
      <w:lvlText w:val="%1、"/>
      <w:lvlJc w:val="left"/>
      <w:pPr>
        <w:ind w:left="0" w:firstLine="0"/>
      </w:pPr>
      <w:rPr>
        <w:rFonts w:hint="eastAsia"/>
      </w:rPr>
    </w:lvl>
    <w:lvl w:ilvl="1" w:tentative="0">
      <w:start w:val="4"/>
      <w:numFmt w:val="chineseCounting"/>
      <w:suff w:val="nothing"/>
      <w:lvlText w:val="（%2）"/>
      <w:lvlJc w:val="left"/>
      <w:pPr>
        <w:ind w:left="0" w:firstLine="0"/>
      </w:pPr>
      <w:rPr>
        <w:rFonts w:hint="eastAsia" w:ascii="楷体_GB2312" w:eastAsia="楷体_GB2312"/>
      </w:rPr>
    </w:lvl>
    <w:lvl w:ilvl="2" w:tentative="0">
      <w:start w:val="10"/>
      <w:numFmt w:val="decimal"/>
      <w:suff w:val="nothing"/>
      <w:lvlText w:val="%3．"/>
      <w:lvlJc w:val="left"/>
      <w:pPr>
        <w:ind w:left="0" w:firstLine="400"/>
      </w:pPr>
      <w:rPr>
        <w:rFonts w:hint="eastAsia" w:ascii="Times New Roman" w:hAnsi="Times New Roman" w:eastAsia="宋体" w:cs="Times New Roman"/>
        <w:b/>
        <w:bCs/>
      </w:rPr>
    </w:lvl>
    <w:lvl w:ilvl="3" w:tentative="0">
      <w:start w:val="1"/>
      <w:numFmt w:val="decimal"/>
      <w:suff w:val="nothing"/>
      <w:lvlText w:val="（%4）"/>
      <w:lvlJc w:val="left"/>
      <w:pPr>
        <w:ind w:left="0" w:firstLine="402"/>
      </w:pPr>
      <w:rPr>
        <w:rFonts w:hint="eastAsia" w:ascii="宋体" w:hAnsi="宋体" w:eastAsia="宋体"/>
      </w:rPr>
    </w:lvl>
    <w:lvl w:ilvl="4" w:tentative="0">
      <w:start w:val="1"/>
      <w:numFmt w:val="decimalEnclosedCircleChinese"/>
      <w:suff w:val="nothing"/>
      <w:lvlText w:val="%5"/>
      <w:lvlJc w:val="left"/>
      <w:pPr>
        <w:ind w:left="0" w:firstLine="402"/>
      </w:pPr>
      <w:rPr>
        <w:rFonts w:hint="eastAsia" w:ascii="宋体" w:hAnsi="宋体" w:eastAsia="宋体"/>
      </w:rPr>
    </w:lvl>
    <w:lvl w:ilvl="5" w:tentative="0">
      <w:start w:val="1"/>
      <w:numFmt w:val="decimal"/>
      <w:suff w:val="nothing"/>
      <w:lvlText w:val="%6）"/>
      <w:lvlJc w:val="left"/>
      <w:pPr>
        <w:ind w:left="0" w:firstLine="402"/>
      </w:pPr>
      <w:rPr>
        <w:rFonts w:hint="eastAsia" w:ascii="宋体" w:hAnsi="宋体" w:eastAsia="宋体"/>
      </w:rPr>
    </w:lvl>
    <w:lvl w:ilvl="6" w:tentative="0">
      <w:start w:val="1"/>
      <w:numFmt w:val="lowerLetter"/>
      <w:suff w:val="nothing"/>
      <w:lvlText w:val="%7．"/>
      <w:lvlJc w:val="left"/>
      <w:pPr>
        <w:ind w:left="0" w:firstLine="402"/>
      </w:pPr>
      <w:rPr>
        <w:rFonts w:hint="eastAsia" w:ascii="宋体" w:hAnsi="宋体" w:eastAsia="宋体"/>
      </w:rPr>
    </w:lvl>
    <w:lvl w:ilvl="7" w:tentative="0">
      <w:start w:val="1"/>
      <w:numFmt w:val="lowerLetter"/>
      <w:suff w:val="nothing"/>
      <w:lvlText w:val="%8）"/>
      <w:lvlJc w:val="left"/>
      <w:pPr>
        <w:ind w:left="0" w:firstLine="402"/>
      </w:pPr>
      <w:rPr>
        <w:rFonts w:hint="eastAsia" w:ascii="宋体" w:hAnsi="宋体" w:eastAsia="宋体"/>
      </w:rPr>
    </w:lvl>
    <w:lvl w:ilvl="8" w:tentative="0">
      <w:start w:val="1"/>
      <w:numFmt w:val="lowerRoman"/>
      <w:suff w:val="nothing"/>
      <w:lvlText w:val="%9 "/>
      <w:lvlJc w:val="left"/>
      <w:pPr>
        <w:ind w:left="0" w:firstLine="402"/>
      </w:pPr>
      <w:rPr>
        <w:rFonts w:hint="eastAsia" w:ascii="宋体" w:hAnsi="宋体" w:eastAsia="宋体"/>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7FDC0"/>
    <w:rsid w:val="7D17F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2025-10-27T08:49:00Z</dcterms:created>
  <dc:creator>user</dc:creator>
  <cp:lastModifiedBy>user</cp:lastModifiedBy>
  <dcterms:modified xsi:type="dcterms:W3CDTF">2025-10-27T08:52:12Z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4A7F89BEB22ADDE091C1FE6801F20B91_41</vt:lpwstr>
  </property>
</Properties>
</file>