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F22D0">
      <w:pPr>
        <w:keepNext w:val="0"/>
        <w:keepLines w:val="0"/>
        <w:widowControl w:val="0"/>
        <w:suppressLineNumbers w:val="0"/>
        <w:spacing w:before="0" w:beforeLines="0" w:beforeAutospacing="0" w:after="0" w:afterLines="0" w:afterAutospacing="0" w:line="579" w:lineRule="exact"/>
        <w:ind w:left="0" w:right="0"/>
        <w:jc w:val="left"/>
        <w:rPr>
          <w:rFonts w:hint="default" w:ascii="Times New Roman" w:hAnsi="Times New Roman" w:eastAsia="黑体" w:cs="Times New Roman"/>
          <w:color w:val="auto"/>
          <w:spacing w:val="0"/>
          <w:kern w:val="2"/>
          <w:sz w:val="32"/>
          <w:szCs w:val="32"/>
        </w:rPr>
      </w:pPr>
      <w:r>
        <w:rPr>
          <w:rFonts w:hint="default" w:ascii="Times New Roman" w:hAnsi="Times New Roman" w:eastAsia="黑体" w:cs="Times New Roman"/>
          <w:color w:val="auto"/>
          <w:spacing w:val="0"/>
          <w:kern w:val="2"/>
          <w:sz w:val="32"/>
          <w:szCs w:val="32"/>
          <w:lang w:val="en-US" w:eastAsia="zh-CN" w:bidi="ar"/>
        </w:rPr>
        <w:t>附件1</w:t>
      </w:r>
    </w:p>
    <w:p w14:paraId="7A260C71">
      <w:pPr>
        <w:keepNext w:val="0"/>
        <w:keepLines w:val="0"/>
        <w:widowControl w:val="0"/>
        <w:suppressLineNumbers w:val="0"/>
        <w:spacing w:before="0" w:beforeLines="0" w:beforeAutospacing="0" w:after="0" w:afterLines="0" w:afterAutospacing="0" w:line="579" w:lineRule="exact"/>
        <w:ind w:left="0" w:right="0"/>
        <w:jc w:val="both"/>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lang w:val="en-US" w:eastAsia="zh-CN" w:bidi="ar"/>
        </w:rPr>
        <w:t xml:space="preserve"> </w:t>
      </w:r>
    </w:p>
    <w:p w14:paraId="0F78189F">
      <w:pPr>
        <w:keepNext w:val="0"/>
        <w:keepLines w:val="0"/>
        <w:widowControl w:val="0"/>
        <w:suppressLineNumbers w:val="0"/>
        <w:spacing w:before="0" w:beforeLines="0" w:beforeAutospacing="0" w:after="0" w:afterLines="0" w:afterAutospacing="0" w:line="579" w:lineRule="exact"/>
        <w:ind w:left="0" w:right="0"/>
        <w:jc w:val="center"/>
        <w:rPr>
          <w:rFonts w:hint="default" w:ascii="Times New Roman" w:hAnsi="Times New Roman" w:eastAsia="方正小标宋简体" w:cs="Times New Roman"/>
          <w:color w:val="auto"/>
          <w:spacing w:val="0"/>
          <w:kern w:val="2"/>
          <w:sz w:val="44"/>
          <w:szCs w:val="44"/>
        </w:rPr>
      </w:pPr>
      <w:r>
        <w:rPr>
          <w:rFonts w:hint="default" w:ascii="Times New Roman" w:hAnsi="Times New Roman" w:eastAsia="方正小标宋简体" w:cs="Times New Roman"/>
          <w:color w:val="auto"/>
          <w:spacing w:val="0"/>
          <w:kern w:val="2"/>
          <w:sz w:val="44"/>
          <w:szCs w:val="44"/>
          <w:lang w:val="en-US" w:eastAsia="zh-CN" w:bidi="ar"/>
        </w:rPr>
        <w:t>亚洲基础</w:t>
      </w:r>
      <w:bookmarkStart w:id="0" w:name="_GoBack"/>
      <w:bookmarkEnd w:id="0"/>
      <w:r>
        <w:rPr>
          <w:rFonts w:hint="default" w:ascii="Times New Roman" w:hAnsi="Times New Roman" w:eastAsia="方正小标宋简体" w:cs="Times New Roman"/>
          <w:color w:val="auto"/>
          <w:spacing w:val="0"/>
          <w:kern w:val="2"/>
          <w:sz w:val="44"/>
          <w:szCs w:val="44"/>
          <w:lang w:val="en-US" w:eastAsia="zh-CN" w:bidi="ar"/>
        </w:rPr>
        <w:t>设施投资银行贷款情况简介</w:t>
      </w:r>
    </w:p>
    <w:p w14:paraId="15FB6E5F">
      <w:pPr>
        <w:keepNext w:val="0"/>
        <w:keepLines w:val="0"/>
        <w:widowControl w:val="0"/>
        <w:suppressLineNumbers w:val="0"/>
        <w:spacing w:before="0" w:beforeLines="0" w:beforeAutospacing="0" w:after="0" w:afterLines="0" w:afterAutospacing="0" w:line="579" w:lineRule="exact"/>
        <w:ind w:left="0" w:right="0"/>
        <w:jc w:val="both"/>
        <w:rPr>
          <w:rFonts w:hint="default" w:ascii="Times New Roman" w:hAnsi="Times New Roman" w:eastAsia="方正小标宋简体" w:cs="Times New Roman"/>
          <w:color w:val="auto"/>
          <w:spacing w:val="0"/>
          <w:kern w:val="2"/>
          <w:sz w:val="40"/>
          <w:szCs w:val="40"/>
        </w:rPr>
      </w:pPr>
      <w:r>
        <w:rPr>
          <w:rFonts w:hint="default" w:ascii="Times New Roman" w:hAnsi="Times New Roman" w:eastAsia="方正小标宋简体" w:cs="Times New Roman"/>
          <w:color w:val="auto"/>
          <w:spacing w:val="0"/>
          <w:kern w:val="2"/>
          <w:sz w:val="40"/>
          <w:szCs w:val="40"/>
          <w:lang w:val="en-US" w:eastAsia="zh-CN" w:bidi="ar"/>
        </w:rPr>
        <w:t xml:space="preserve"> </w:t>
      </w:r>
    </w:p>
    <w:p w14:paraId="0CDE4960">
      <w:pPr>
        <w:keepNext w:val="0"/>
        <w:keepLines w:val="0"/>
        <w:widowControl w:val="0"/>
        <w:suppressLineNumbers w:val="0"/>
        <w:spacing w:before="0" w:beforeLines="0" w:beforeAutospacing="0" w:after="0" w:afterLines="0" w:afterAutospacing="0" w:line="579" w:lineRule="exact"/>
        <w:ind w:left="0" w:right="0" w:firstLine="643" w:firstLineChars="200"/>
        <w:jc w:val="both"/>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b/>
          <w:bCs/>
          <w:color w:val="auto"/>
          <w:spacing w:val="0"/>
          <w:kern w:val="2"/>
          <w:sz w:val="32"/>
          <w:szCs w:val="32"/>
          <w:lang w:val="en-US" w:eastAsia="zh-CN" w:bidi="ar"/>
        </w:rPr>
        <w:t>机构简介：</w:t>
      </w:r>
      <w:r>
        <w:rPr>
          <w:rFonts w:hint="default" w:ascii="Times New Roman" w:hAnsi="Times New Roman" w:eastAsia="仿宋_GB2312" w:cs="Times New Roman"/>
          <w:color w:val="auto"/>
          <w:spacing w:val="0"/>
          <w:kern w:val="2"/>
          <w:sz w:val="32"/>
          <w:szCs w:val="32"/>
          <w:lang w:val="en-US" w:eastAsia="zh-CN" w:bidi="ar"/>
        </w:rPr>
        <w:t xml:space="preserve">亚洲基础设施投资银行（简称亚投行）是一个政府间性质的亚洲区域多边开发机构。重点支持基础设施建设，成立宗旨是为了促进亚洲区域的建设互联互通化和经济一体化的进程，并且加强中国及其他亚洲国家和地区的合作，是首个由中国倡议设立的多边金融机构，总部设在北京亚洲金融大厦。 </w:t>
      </w:r>
    </w:p>
    <w:p w14:paraId="439EB960">
      <w:pPr>
        <w:keepNext w:val="0"/>
        <w:keepLines w:val="0"/>
        <w:widowControl w:val="0"/>
        <w:suppressLineNumbers w:val="0"/>
        <w:spacing w:before="0" w:beforeLines="0" w:beforeAutospacing="0" w:after="0" w:afterLines="0" w:afterAutospacing="0" w:line="579" w:lineRule="exact"/>
        <w:ind w:left="0" w:right="0" w:firstLine="643" w:firstLineChars="200"/>
        <w:jc w:val="both"/>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b/>
          <w:bCs/>
          <w:color w:val="auto"/>
          <w:spacing w:val="0"/>
          <w:kern w:val="2"/>
          <w:sz w:val="32"/>
          <w:szCs w:val="32"/>
          <w:lang w:val="en-US" w:eastAsia="zh-CN" w:bidi="ar"/>
        </w:rPr>
        <w:t>贷款利率费用水平：</w:t>
      </w:r>
      <w:r>
        <w:rPr>
          <w:rFonts w:hint="default" w:ascii="Times New Roman" w:hAnsi="Times New Roman" w:eastAsia="仿宋_GB2312" w:cs="Times New Roman"/>
          <w:color w:val="auto"/>
          <w:spacing w:val="0"/>
          <w:kern w:val="2"/>
          <w:sz w:val="32"/>
          <w:szCs w:val="32"/>
          <w:lang w:val="en-US" w:eastAsia="zh-CN" w:bidi="ar"/>
        </w:rPr>
        <w:t>亚投行目前主要提供美元、人民币和欧元主权贷款，利率为固定利差浮动利率，贷款期限最长可达35年。美元主权贷款利率以贷款担保隔夜融资利率（SOFR）为基础，人民币主权贷款利率以3个月上海同业拆借利率（SHIBOR）为基础，欧元主权贷款利率以6个月欧洲银行同业拆借利率（EURIBOR）为基础，根据不同贷款期限和市场风险加收固定利差。此外，亚投行对所有贷款收取0.25%的先征费和0.25%的承诺费。</w:t>
      </w:r>
    </w:p>
    <w:p w14:paraId="506C0DE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31A15"/>
    <w:rsid w:val="49831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0"/>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2025-11-11T08:31:00Z</dcterms:created>
  <dc:creator>来来来不来</dc:creator>
  <cp:lastModifiedBy>来来来不来</cp:lastModifiedBy>
  <dcterms:modified xsi:type="dcterms:W3CDTF">2025-11-11T08:31:27Z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409973E3019143A19F841B2EB13DEC22_11</vt:lpwstr>
  </property>
  <property fmtid="{D5CDD505-2E9C-101B-9397-08002B2CF9AE}" pid="4" name="KSOTemplateDocerSaveRecord">
    <vt:lpwstr>eyJoZGlkIjoiYWFiZTFkMjUyYWFjZTkzNDAzNDAzNmFiMTU0N2JjM2IiLCJ1c2VySWQiOiI0MDUzMjcwNzQifQ==</vt:lpwstr>
  </property>
</Properties>
</file>