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49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B21A5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小标宋简体" w:cs="Times New Roman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"/>
        </w:rPr>
        <w:t>湖州市支持人工智能高质量发展</w:t>
      </w:r>
      <w:r>
        <w:rPr>
          <w:rFonts w:hint="eastAsia" w:ascii="Times New Roman" w:hAnsi="Times New Roman" w:eastAsia="方正小标宋简体" w:cs="Times New Roman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"/>
        </w:rPr>
        <w:t>若干措施</w:t>
      </w:r>
    </w:p>
    <w:p w14:paraId="635B5EFE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shd w:val="clear" w:color="auto" w:fill="auto"/>
          <w:lang w:val="en-US" w:eastAsia="zh-CN"/>
        </w:rPr>
        <w:t>（征求意见稿）</w:t>
      </w:r>
    </w:p>
    <w:p w14:paraId="5CAF34C2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</w:p>
    <w:p w14:paraId="47116DC7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抢抓人工智能发展机遇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，促进人工智能与实体经济深度融合，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全力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建设全国人工智能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创新应用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特色之城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，特制定本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。</w:t>
      </w:r>
    </w:p>
    <w:p w14:paraId="05A8AC5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一、加快产业集群发展</w:t>
      </w:r>
    </w:p>
    <w:p w14:paraId="2F8174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1.加大重点项目招引。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设立湖州市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人工智能产业基金，构建“母基金+子基金+直投”多元化投资体系，聚焦人工智能重点领域，强化基金对重大项目招引的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撬动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能力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列入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具身智能机器人、智能驾驶、智能穿戴设备、算力数据服务等人工智能核心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产业目录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的重点项目，在其设备和软件投资补助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标准的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基础上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再上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" w:eastAsia="zh-CN"/>
        </w:rPr>
        <w:t>25%。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市财政局、市经信局、市国资委、市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eastAsia="zh-CN" w:bidi="ar-SA"/>
        </w:rPr>
        <w:t>产业集团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、市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eastAsia="zh-CN" w:bidi="ar-SA"/>
        </w:rPr>
        <w:t>城市集团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、市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eastAsia="zh-CN" w:bidi="ar-SA"/>
        </w:rPr>
        <w:t>交通集团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17E374AE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2.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鼓励企业提档升级。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对列入人工智能核心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产业目录的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销售首次超2000万元、5000万元、1亿元的，分别给予20万元、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万元晋档奖励。（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shd w:val="clear" w:color="auto" w:fill="auto"/>
          <w:lang w:val="en-US" w:eastAsia="zh-CN"/>
        </w:rPr>
        <w:t>市经信局、市财政局负责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）</w:t>
      </w:r>
    </w:p>
    <w:p w14:paraId="5C4289D1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3.加快智能终端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u w:val="none"/>
          <w:shd w:val="clear" w:color="auto" w:fill="auto"/>
          <w:lang w:eastAsia="zh-CN" w:bidi="ar"/>
        </w:rPr>
        <w:t>开发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具身智能机器人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、智能穿戴设备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开发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推广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，对年销售首次超500万元的，按照销售金额（不含税）的5%给予奖励，最高100万元。（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市经信局、市财政局负责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 w14:paraId="5C64517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shd w:val="clear" w:fill="auto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 w:bidi="ar"/>
        </w:rPr>
        <w:t>支持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eastAsia="zh-CN" w:bidi="ar"/>
        </w:rPr>
        <w:t>算力模型使用开发</w:t>
      </w:r>
    </w:p>
    <w:p w14:paraId="173F5E7C">
      <w:pPr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4.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发放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算力券、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24"/>
          <w:highlight w:val="none"/>
          <w:shd w:val="clear" w:color="auto" w:fill="auto"/>
          <w:lang w:bidi="ar"/>
        </w:rPr>
        <w:t>模型券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24"/>
          <w:highlight w:val="none"/>
          <w:shd w:val="clear" w:color="auto" w:fill="auto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对企业购买智能算力资源并开展算法创新、推理应用，按照合同实际执行金额的最高30%给予补助，每年最高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00万元。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成功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研发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并落地的专用模型，经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第三方权威评测机构评测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通过的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按照不超过研发成本30%给予补助，最高300万元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对首次获得国家生成式人工智能模型备案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 w:bidi="ar"/>
        </w:rPr>
        <w:t>的企业，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auto"/>
        </w:rPr>
        <w:t>给予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auto"/>
        </w:rPr>
        <w:t>0万元一次性奖励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市级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各行业主管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部门负责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 w14:paraId="49191295">
      <w:pPr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lang w:val="en-US" w:eastAsia="zh-CN" w:bidi="ar"/>
        </w:rPr>
        <w:t>5.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lang w:val="en-US" w:eastAsia="zh-CN" w:bidi="ar"/>
        </w:rPr>
        <w:t>支持边缘算力建设。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设边缘智能算力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设施的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，按其采购人工智能一体机、智算服务器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边缘智能计算设备购置费用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%给予补助，最高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市级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各行业主管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部门负责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 w14:paraId="35DEB9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黑体" w:cs="Times New Roman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、加强高质量数据供给</w:t>
      </w:r>
    </w:p>
    <w:p w14:paraId="629E94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6.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发放数据券。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开展可信数据空间建设，支持企业开展数据产品开发、流通交易，对取得数据资产评估登记证书的数据产品全年交易额首次达到200万元、500万元、1000万元的制造业和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软件信息服务业企业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，分别给予20万元、35万元、50万元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晋档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奖励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市经信局、市财政局、市数据局负责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</w:p>
    <w:p w14:paraId="72A25D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highlight w:val="none"/>
          <w:lang w:val="en-US" w:eastAsia="zh-CN" w:bidi="ar"/>
        </w:rPr>
        <w:t>7.建设高质量数据集。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对首次入选国家高质量数据集典型案例、国家数据标注优秀案例，以及省高质量数据集典型案例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的制造业和软件信息服务业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，分别给予20万元、10万元一次性奖励。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市经信局、市财政局、市数据局负责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</w:p>
    <w:p w14:paraId="11A9D1A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四、拓展高价值应用场景</w:t>
      </w:r>
    </w:p>
    <w:p w14:paraId="475D8CFA"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lang w:val="en-US" w:eastAsia="zh-CN" w:bidi="ar"/>
        </w:rPr>
        <w:t>8.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shd w:val="clear" w:color="auto" w:fill="auto"/>
          <w:lang w:eastAsia="zh-CN" w:bidi="ar"/>
        </w:rPr>
        <w:t>打造应用场景标杆。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加大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人工智能场景培育与开放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力度，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实施人工智能赋能千行百业行动，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组织专家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每年择优遴选10个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左右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应用场景标杆，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发放场景券，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对首次列入应用场景标杆的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企业，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给予30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一次性奖励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。（</w:t>
      </w:r>
      <w:r>
        <w:rPr>
          <w:rFonts w:hint="default" w:ascii="Times New Roman" w:hAnsi="Times New Roman" w:eastAsia="楷体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市级</w:t>
      </w:r>
      <w:r>
        <w:rPr>
          <w:rFonts w:hint="default" w:ascii="Times New Roman" w:hAnsi="Times New Roman" w:eastAsia="楷体_GB2312" w:cs="Times New Roman"/>
          <w:b w:val="0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各行业主管</w:t>
      </w:r>
      <w:r>
        <w:rPr>
          <w:rFonts w:hint="default" w:ascii="Times New Roman" w:hAnsi="Times New Roman" w:eastAsia="楷体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部门负责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 w14:paraId="73A7BA81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shd w:val="clear"/>
          <w:lang w:val="en-US" w:eastAsia="zh-CN" w:bidi="ar"/>
        </w:rPr>
        <w:t>9.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举办赛事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shd w:val="clear"/>
          <w:lang w:val="en-US" w:eastAsia="zh-CN" w:bidi="ar"/>
        </w:rPr>
        <w:t>会议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highlight w:val="none"/>
          <w:shd w:val="clear" w:color="auto" w:fill="auto"/>
          <w:lang w:val="en-US" w:eastAsia="zh-CN" w:bidi="ar"/>
        </w:rPr>
        <w:t>活动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shd w:val="clear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“湖州全球高层次人才创新创业大赛”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单列人工智能专项赛道，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举办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获奖项目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给予资金奖励，并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推荐纳入“南太湖精英计划”支持体系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（市委人才办、市经信局负责）</w:t>
      </w:r>
    </w:p>
    <w:p w14:paraId="0B17A35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" w:eastAsia="zh-CN"/>
        </w:rPr>
      </w:pPr>
      <w:r>
        <w:rPr>
          <w:rFonts w:hint="eastAsia" w:ascii="黑体" w:hAnsi="黑体" w:eastAsia="黑体" w:cs="黑体"/>
          <w:sz w:val="32"/>
          <w:lang w:val="en" w:eastAsia="zh-CN"/>
        </w:rPr>
        <w:t>五、激活创新要素</w:t>
      </w:r>
    </w:p>
    <w:p w14:paraId="73EB158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lang w:val="en-US" w:eastAsia="zh-CN" w:bidi="ar"/>
        </w:rPr>
        <w:t>10.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支持重点平台建设和关键技术攻关。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对新认定的人工智能国家实验室、全国重点实验室、省实验室、全省重点实验室的依托单位，分别给予1000万元、500万元、500万元、100万元补助。在市级重点研发计划中新设“人工智能+专项”，单个项目财政补助额度最高50万元。在市级“揭榜挂帅”项目中新设“人工智能+专项”，单个项目财政补助额度最高150万元。（</w:t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市科技局、市财政局负责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</w:p>
    <w:p w14:paraId="4144F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lang w:val="en-US" w:eastAsia="zh-CN" w:bidi="ar"/>
        </w:rPr>
        <w:t>11.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lang w:eastAsia="zh-CN" w:bidi="ar"/>
        </w:rPr>
        <w:t>加强人工智能人才引育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迭代“南太湖精英计划”，将人工智能项目单列申报赛道，适度放宽申报资格，不限申报名额，对符合基础条件的人工智能人才创业项目，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投资机构实际到位投资额1500万元以上的可免评审认定。高校院所人工智能人才到企业全职双聘，或者兼职双聘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每年在企业工作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超过半年的，或者自主创办企业的，可同等享受企业所在地人才政策。企业人才到高校担任产业教授的，可担任研究生第一导师。每年引育人工智能人才项目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0个以上。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（市委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人才办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、市人力社保局、市经信局、市科技局、市教育局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、市财政局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负责）</w:t>
      </w:r>
    </w:p>
    <w:p w14:paraId="46723B92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24"/>
          <w:lang w:val="en-US" w:eastAsia="zh-CN" w:bidi="ar"/>
        </w:rPr>
        <w:t>12.探索人工智能人才评价新标准。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破除“唯论文、唯职称、唯学历、唯奖项”导向，探索人才“企业认定、政府认账”机制，加大对人工智能初创企业授权支持力度。对年薪50万元以上且具有3年以上研发经验的，或者承担单个横向课题经费超过300万元且通过自主验收的，优先推荐申报省级人才计划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（市委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人才办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、市经信局、市科技局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、市人力社保局、市财政局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负责）</w:t>
      </w:r>
    </w:p>
    <w:p w14:paraId="3DA073D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措施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自2026年1月1日起施行至202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年12月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31日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，由市委人才办、市经信局、市财政局、市科技局、市数据局负责解释，有效期为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年。三县可参照执行。涉企奖励政策适用市本级（吴兴区、南浔区、南太湖新区），除另有明确规定外，资金按现行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各专项的财政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分担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比例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。同一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按“从优、从高、不重复”原则进行奖励。</w:t>
      </w:r>
      <w:bookmarkEnd w:id="0"/>
    </w:p>
    <w:p w14:paraId="28B4E65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64A67"/>
    <w:rsid w:val="06B64A67"/>
    <w:rsid w:val="17E1332A"/>
    <w:rsid w:val="67075F0D"/>
    <w:rsid w:val="785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公文正文"/>
    <w:basedOn w:val="1"/>
    <w:qFormat/>
    <w:uiPriority w:val="0"/>
    <w:pPr>
      <w:spacing w:line="600" w:lineRule="exact"/>
      <w:ind w:firstLine="640" w:firstLineChars="200"/>
    </w:pPr>
    <w:rPr>
      <w:rFonts w:hint="eastAsia" w:ascii="Times New Roman" w:hAnsi="Times New Roman" w:eastAsia="仿宋_GB2312" w:cs="仿宋_GB2312"/>
      <w:color w:val="auto"/>
      <w:sz w:val="32"/>
      <w:szCs w:val="32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Body Text First Indent"/>
    <w:basedOn w:val="4"/>
    <w:next w:val="1"/>
    <w:qFormat/>
    <w:uiPriority w:val="99"/>
    <w:pPr>
      <w:ind w:left="226" w:firstLine="420" w:firstLineChars="100"/>
    </w:pPr>
    <w:rPr>
      <w:rFonts w:ascii="宋体" w:hAnsi="宋体"/>
      <w:lang w:val="zh-CN"/>
    </w:rPr>
  </w:style>
  <w:style w:type="paragraph" w:customStyle="1" w:styleId="8">
    <w:name w:val="一级标题"/>
    <w:basedOn w:val="1"/>
    <w:next w:val="1"/>
    <w:uiPriority w:val="0"/>
    <w:pPr>
      <w:spacing w:before="200" w:beforeLines="200" w:after="100" w:afterLines="100" w:line="480" w:lineRule="auto"/>
      <w:jc w:val="center"/>
      <w:outlineLvl w:val="0"/>
    </w:pPr>
    <w:rPr>
      <w:rFonts w:hint="eastAsia" w:ascii="黑体" w:hAnsi="黑体" w:eastAsia="黑体" w:cs="黑体"/>
      <w:bCs/>
      <w:kern w:val="44"/>
      <w:sz w:val="32"/>
      <w:szCs w:val="32"/>
      <w:lang w:bidi="ar"/>
    </w:rPr>
  </w:style>
  <w:style w:type="paragraph" w:customStyle="1" w:styleId="9">
    <w:name w:val="文章标题"/>
    <w:basedOn w:val="1"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2026-01-15T04:31:00Z</dcterms:created>
  <dc:creator>sugars</dc:creator>
  <cp:lastModifiedBy>sugars</cp:lastModifiedBy>
  <dcterms:modified xsi:type="dcterms:W3CDTF">2026-01-15T04:31:33Z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1331E89FE8BA4EA39464CE1A103DAE4A_11</vt:lpwstr>
  </property>
  <property fmtid="{D5CDD505-2E9C-101B-9397-08002B2CF9AE}" pid="4" name="KSOTemplateDocerSaveRecord">
    <vt:lpwstr>eyJoZGlkIjoiMzEwNTM5NzYwMDRjMzkwZTVkZjY2ODkwMGIxNGU0OTUiLCJ1c2VySWQiOiIyODgyMTA4MzIifQ==</vt:lpwstr>
  </property>
</Properties>
</file>