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pacing w:val="-6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年度社发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sz w:val="44"/>
          <w:szCs w:val="44"/>
          <w:lang w:eastAsia="zh-CN"/>
        </w:rPr>
        <w:t>科技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项目</w:t>
      </w:r>
      <w:r>
        <w:rPr>
          <w:rFonts w:hint="eastAsia" w:eastAsia="方正小标宋简体" w:cs="Times New Roman"/>
          <w:color w:val="000000"/>
          <w:spacing w:val="-6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</w:rPr>
        <w:t>名额分配表</w:t>
      </w:r>
    </w:p>
    <w:tbl>
      <w:tblPr>
        <w:tblStyle w:val="2"/>
        <w:tblW w:w="8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5"/>
        <w:gridCol w:w="4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  <w:jc w:val="center"/>
        </w:trPr>
        <w:tc>
          <w:tcPr>
            <w:tcW w:w="489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400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年分配名额（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项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婺城区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金义新区（金东区）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兰溪市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东阳市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其中东阳市人民医院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浙江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广厦建设职业技术大学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义乌市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其中义乌工商职业技术学院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其中浙江大学医学院附属第四医院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其中义乌市妇幼保健院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其中义乌市中心医院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其中义乌市中医医院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永康市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浦江县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武义县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磐安县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金华开发区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金华职业技术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金华理工高等研究院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金华市计量质量科学研究院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金华市食品药品检测检验研究院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金华市特种设备检验检测院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金华生态环境监测中心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金华市中心医院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金华市人民医院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金华市中医医院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金华市妇幼保健院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金华市第二医院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浙江金华广福肿瘤医院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金华市疾病预防控制中心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金华文荣医院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金华市第五医院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金华眼科医院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金华海关综合技术服务中心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金华市气象局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其他市属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4"/>
        </w:rPr>
        <w:t>未列入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名额分配单位</w:t>
      </w:r>
      <w:r>
        <w:rPr>
          <w:rFonts w:hint="default" w:ascii="Times New Roman" w:hAnsi="Times New Roman" w:eastAsia="仿宋_GB2312" w:cs="Times New Roman"/>
          <w:sz w:val="24"/>
        </w:rPr>
        <w:t>的市本级其他单位，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社发类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项目每家限额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2项。</w:t>
      </w:r>
    </w:p>
    <w:p>
      <w:pPr>
        <w:spacing w:line="40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E08BC"/>
    <w:rsid w:val="3F7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2026-03-26T15:07:00Z</dcterms:created>
  <dc:creator>-</dc:creator>
  <cp:lastModifiedBy>-</cp:lastModifiedBy>
  <dcterms:modified xsi:type="dcterms:W3CDTF">2026-03-26T15:08:19Z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6D61BA830653A15449DBC4698DBBD260_41</vt:lpwstr>
  </property>
</Properties>
</file>