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CC7D3">
      <w:pPr>
        <w:spacing w:before="100" w:line="230" w:lineRule="auto"/>
        <w:ind w:left="14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 w14:paraId="4DA773F3">
      <w:pPr>
        <w:spacing w:line="257" w:lineRule="auto"/>
        <w:rPr>
          <w:rFonts w:ascii="Arial"/>
          <w:sz w:val="21"/>
        </w:rPr>
      </w:pPr>
    </w:p>
    <w:p w14:paraId="326050C5">
      <w:pPr>
        <w:spacing w:before="140" w:line="222" w:lineRule="auto"/>
        <w:ind w:left="563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0"/>
          <w:sz w:val="43"/>
          <w:szCs w:val="43"/>
        </w:rPr>
        <w:t>专项活动清单</w:t>
      </w:r>
      <w:bookmarkStart w:id="0" w:name="_GoBack"/>
      <w:bookmarkEnd w:id="0"/>
    </w:p>
    <w:p w14:paraId="33C4ABA1">
      <w:pPr>
        <w:spacing w:line="294" w:lineRule="auto"/>
        <w:rPr>
          <w:rFonts w:ascii="Arial"/>
          <w:sz w:val="21"/>
        </w:rPr>
      </w:pPr>
    </w:p>
    <w:p w14:paraId="5E12BD07">
      <w:pPr>
        <w:pStyle w:val="2"/>
        <w:spacing w:before="78" w:line="277" w:lineRule="auto"/>
        <w:ind w:left="129" w:right="364" w:firstLine="517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专</w:t>
      </w:r>
      <w:r>
        <w:rPr>
          <w:spacing w:val="-5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项</w:t>
      </w:r>
      <w:r>
        <w:rPr>
          <w:spacing w:val="-47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活</w:t>
      </w:r>
      <w:r>
        <w:rPr>
          <w:spacing w:val="-47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动</w:t>
      </w:r>
      <w:r>
        <w:rPr>
          <w:spacing w:val="-5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补</w:t>
      </w:r>
      <w:r>
        <w:rPr>
          <w:spacing w:val="-49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助</w:t>
      </w:r>
      <w:r>
        <w:rPr>
          <w:spacing w:val="-27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由</w:t>
      </w:r>
      <w:r>
        <w:rPr>
          <w:spacing w:val="-5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指</w:t>
      </w:r>
      <w:r>
        <w:rPr>
          <w:spacing w:val="-57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定</w:t>
      </w:r>
      <w:r>
        <w:rPr>
          <w:spacing w:val="-5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服</w:t>
      </w:r>
      <w:r>
        <w:rPr>
          <w:spacing w:val="-57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务</w:t>
      </w:r>
      <w:r>
        <w:rPr>
          <w:spacing w:val="-6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机</w:t>
      </w:r>
      <w:r>
        <w:rPr>
          <w:spacing w:val="-60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构</w:t>
      </w:r>
      <w:r>
        <w:rPr>
          <w:spacing w:val="-62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提</w:t>
      </w:r>
      <w:r>
        <w:rPr>
          <w:spacing w:val="-6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供</w:t>
      </w:r>
      <w:r>
        <w:rPr>
          <w:spacing w:val="-69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，</w:t>
      </w:r>
      <w:r>
        <w:rPr>
          <w:spacing w:val="-51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专</w:t>
      </w:r>
      <w:r>
        <w:rPr>
          <w:spacing w:val="-57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项</w:t>
      </w:r>
      <w:r>
        <w:rPr>
          <w:spacing w:val="-5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服</w:t>
      </w:r>
      <w:r>
        <w:rPr>
          <w:spacing w:val="-5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务</w:t>
      </w:r>
      <w:r>
        <w:rPr>
          <w:spacing w:val="-60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行</w:t>
      </w:r>
      <w:r>
        <w:rPr>
          <w:spacing w:val="-47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动开</w:t>
      </w:r>
      <w:r>
        <w:rPr>
          <w:spacing w:val="-62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展</w:t>
      </w:r>
      <w:r>
        <w:rPr>
          <w:spacing w:val="-62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地</w:t>
      </w:r>
      <w:r>
        <w:rPr>
          <w:spacing w:val="-27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区</w:t>
      </w:r>
      <w:r>
        <w:rPr>
          <w:spacing w:val="-64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根</w:t>
      </w:r>
      <w:r>
        <w:rPr>
          <w:spacing w:val="-57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据</w:t>
      </w:r>
      <w:r>
        <w:rPr>
          <w:spacing w:val="-48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实</w:t>
      </w:r>
      <w:r>
        <w:rPr>
          <w:spacing w:val="-43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际</w:t>
      </w:r>
      <w:r>
        <w:rPr>
          <w:spacing w:val="-47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需</w:t>
      </w:r>
      <w:r>
        <w:rPr>
          <w:spacing w:val="-53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要</w:t>
      </w:r>
      <w:r>
        <w:rPr>
          <w:spacing w:val="-69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，</w:t>
      </w:r>
      <w:r>
        <w:rPr>
          <w:spacing w:val="-50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从</w:t>
      </w:r>
      <w:r>
        <w:rPr>
          <w:spacing w:val="-50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下</w:t>
      </w:r>
      <w:r>
        <w:rPr>
          <w:spacing w:val="-65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述</w:t>
      </w:r>
      <w:r>
        <w:rPr>
          <w:spacing w:val="-52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专</w:t>
      </w:r>
      <w:r>
        <w:rPr>
          <w:spacing w:val="-58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项</w:t>
      </w:r>
      <w:r>
        <w:rPr>
          <w:spacing w:val="-47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活</w:t>
      </w:r>
      <w:r>
        <w:rPr>
          <w:spacing w:val="-47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动</w:t>
      </w:r>
      <w:r>
        <w:rPr>
          <w:spacing w:val="-49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清</w:t>
      </w:r>
      <w:r>
        <w:rPr>
          <w:spacing w:val="-54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单 自</w:t>
      </w:r>
      <w:r>
        <w:rPr>
          <w:spacing w:val="-61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行</w:t>
      </w:r>
      <w:r>
        <w:rPr>
          <w:sz w:val="24"/>
          <w:szCs w:val="24"/>
        </w:rPr>
        <w:t>选</w:t>
      </w:r>
      <w:r>
        <w:rPr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择</w:t>
      </w:r>
      <w:r>
        <w:rPr>
          <w:spacing w:val="-56"/>
          <w:sz w:val="24"/>
          <w:szCs w:val="24"/>
        </w:rPr>
        <w:t xml:space="preserve"> </w:t>
      </w:r>
      <w:r>
        <w:rPr>
          <w:sz w:val="24"/>
          <w:szCs w:val="24"/>
        </w:rPr>
        <w:t>拟开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展</w:t>
      </w:r>
      <w:r>
        <w:rPr>
          <w:spacing w:val="-42"/>
          <w:sz w:val="24"/>
          <w:szCs w:val="24"/>
        </w:rPr>
        <w:t xml:space="preserve"> </w:t>
      </w:r>
      <w:r>
        <w:rPr>
          <w:sz w:val="24"/>
          <w:szCs w:val="24"/>
        </w:rPr>
        <w:t>的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专</w:t>
      </w:r>
      <w:r>
        <w:rPr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项活</w:t>
      </w:r>
      <w:r>
        <w:rPr>
          <w:spacing w:val="-49"/>
          <w:sz w:val="24"/>
          <w:szCs w:val="24"/>
        </w:rPr>
        <w:t xml:space="preserve"> </w:t>
      </w:r>
      <w:r>
        <w:rPr>
          <w:sz w:val="24"/>
          <w:szCs w:val="24"/>
        </w:rPr>
        <w:t>动；</w:t>
      </w:r>
    </w:p>
    <w:p w14:paraId="44857A1D">
      <w:pPr>
        <w:pStyle w:val="2"/>
        <w:spacing w:line="214" w:lineRule="auto"/>
        <w:ind w:left="62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特</w:t>
      </w:r>
      <w:r>
        <w:rPr>
          <w:spacing w:val="-5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色活</w:t>
      </w:r>
      <w:r>
        <w:rPr>
          <w:spacing w:val="-4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动</w:t>
      </w:r>
      <w:r>
        <w:rPr>
          <w:spacing w:val="-3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由</w:t>
      </w:r>
      <w:r>
        <w:rPr>
          <w:spacing w:val="-6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揭</w:t>
      </w:r>
      <w:r>
        <w:rPr>
          <w:spacing w:val="-6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榜</w:t>
      </w:r>
      <w:r>
        <w:rPr>
          <w:spacing w:val="-6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地</w:t>
      </w:r>
      <w:r>
        <w:rPr>
          <w:spacing w:val="-5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方</w:t>
      </w:r>
      <w:r>
        <w:rPr>
          <w:spacing w:val="-6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行</w:t>
      </w:r>
      <w:r>
        <w:rPr>
          <w:spacing w:val="-5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动</w:t>
      </w:r>
      <w:r>
        <w:rPr>
          <w:spacing w:val="-5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方</w:t>
      </w:r>
      <w:r>
        <w:rPr>
          <w:spacing w:val="-5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案</w:t>
      </w:r>
      <w:r>
        <w:rPr>
          <w:spacing w:val="-3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中</w:t>
      </w:r>
      <w:r>
        <w:rPr>
          <w:spacing w:val="-6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推</w:t>
      </w:r>
      <w:r>
        <w:rPr>
          <w:spacing w:val="-6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荐</w:t>
      </w:r>
      <w:r>
        <w:rPr>
          <w:spacing w:val="-4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的</w:t>
      </w:r>
      <w:r>
        <w:rPr>
          <w:spacing w:val="-6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服</w:t>
      </w:r>
      <w:r>
        <w:rPr>
          <w:spacing w:val="-5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务</w:t>
      </w:r>
      <w:r>
        <w:rPr>
          <w:spacing w:val="-6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机</w:t>
      </w:r>
      <w:r>
        <w:rPr>
          <w:spacing w:val="-6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构组</w:t>
      </w:r>
      <w:r>
        <w:rPr>
          <w:spacing w:val="-4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织</w:t>
      </w:r>
      <w:r>
        <w:rPr>
          <w:spacing w:val="-6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承</w:t>
      </w:r>
      <w:r>
        <w:rPr>
          <w:spacing w:val="-5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办</w:t>
      </w:r>
      <w:r>
        <w:rPr>
          <w:spacing w:val="-7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，</w:t>
      </w:r>
      <w:r>
        <w:rPr>
          <w:spacing w:val="-6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活</w:t>
      </w:r>
      <w:r>
        <w:rPr>
          <w:spacing w:val="-4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动</w:t>
      </w:r>
      <w:r>
        <w:rPr>
          <w:spacing w:val="-4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范</w:t>
      </w:r>
      <w:r>
        <w:rPr>
          <w:spacing w:val="-4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围</w:t>
      </w:r>
      <w:r>
        <w:rPr>
          <w:spacing w:val="-5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不</w:t>
      </w:r>
      <w:r>
        <w:rPr>
          <w:spacing w:val="-3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限</w:t>
      </w:r>
      <w:r>
        <w:rPr>
          <w:spacing w:val="-7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，特</w:t>
      </w:r>
      <w:r>
        <w:rPr>
          <w:spacing w:val="-5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色活</w:t>
      </w:r>
      <w:r>
        <w:rPr>
          <w:spacing w:val="-4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动</w:t>
      </w:r>
      <w:r>
        <w:rPr>
          <w:spacing w:val="-5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补</w:t>
      </w:r>
      <w:r>
        <w:rPr>
          <w:spacing w:val="-5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助可</w:t>
      </w:r>
      <w:r>
        <w:rPr>
          <w:spacing w:val="-6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在</w:t>
      </w:r>
      <w:r>
        <w:rPr>
          <w:spacing w:val="-7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“ </w:t>
      </w:r>
      <w:r>
        <w:rPr>
          <w:spacing w:val="-10"/>
          <w:sz w:val="24"/>
          <w:szCs w:val="24"/>
        </w:rPr>
        <w:t>浙</w:t>
      </w:r>
      <w:r>
        <w:rPr>
          <w:spacing w:val="-6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企</w:t>
      </w:r>
      <w:r>
        <w:rPr>
          <w:spacing w:val="-5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之</w:t>
      </w:r>
    </w:p>
    <w:p w14:paraId="7DEE5D96">
      <w:pPr>
        <w:pStyle w:val="2"/>
        <w:spacing w:before="82" w:line="212" w:lineRule="auto"/>
        <w:ind w:left="132"/>
        <w:rPr>
          <w:sz w:val="24"/>
          <w:szCs w:val="24"/>
        </w:rPr>
      </w:pPr>
      <w:r>
        <w:rPr>
          <w:spacing w:val="-9"/>
          <w:sz w:val="24"/>
          <w:szCs w:val="24"/>
        </w:rPr>
        <w:t>家</w:t>
      </w:r>
      <w:r>
        <w:rPr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台</w:t>
      </w:r>
      <w:r>
        <w:rPr>
          <w:spacing w:val="-7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pacing w:val="-2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优</w:t>
      </w:r>
      <w:r>
        <w:rPr>
          <w:spacing w:val="-5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苗</w:t>
      </w:r>
      <w:r>
        <w:rPr>
          <w:spacing w:val="-5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计</w:t>
      </w:r>
      <w:r>
        <w:rPr>
          <w:spacing w:val="-5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划</w:t>
      </w:r>
      <w:r>
        <w:rPr>
          <w:spacing w:val="-6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专</w:t>
      </w:r>
      <w:r>
        <w:rPr>
          <w:spacing w:val="-6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项</w:t>
      </w:r>
      <w:r>
        <w:rPr>
          <w:spacing w:val="-6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服</w:t>
      </w:r>
      <w:r>
        <w:rPr>
          <w:spacing w:val="-5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务</w:t>
      </w:r>
      <w:r>
        <w:rPr>
          <w:spacing w:val="-6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行</w:t>
      </w:r>
      <w:r>
        <w:rPr>
          <w:spacing w:val="-5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动专</w:t>
      </w:r>
      <w:r>
        <w:rPr>
          <w:spacing w:val="-2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区</w:t>
      </w:r>
      <w:r>
        <w:rPr>
          <w:spacing w:val="-6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在线</w:t>
      </w:r>
      <w:r>
        <w:rPr>
          <w:spacing w:val="-2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申</w:t>
      </w:r>
      <w:r>
        <w:rPr>
          <w:spacing w:val="-7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领</w:t>
      </w:r>
      <w:r>
        <w:rPr>
          <w:spacing w:val="-7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，</w:t>
      </w:r>
      <w:r>
        <w:rPr>
          <w:spacing w:val="-5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经</w:t>
      </w:r>
      <w:r>
        <w:rPr>
          <w:spacing w:val="-5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台</w:t>
      </w:r>
      <w:r>
        <w:rPr>
          <w:spacing w:val="-6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验</w:t>
      </w:r>
      <w:r>
        <w:rPr>
          <w:spacing w:val="-4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收</w:t>
      </w:r>
      <w:r>
        <w:rPr>
          <w:spacing w:val="-5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活动</w:t>
      </w:r>
      <w:r>
        <w:rPr>
          <w:spacing w:val="-5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后</w:t>
      </w:r>
      <w:r>
        <w:rPr>
          <w:spacing w:val="-6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发</w:t>
      </w:r>
      <w:r>
        <w:rPr>
          <w:spacing w:val="-6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放。</w:t>
      </w:r>
    </w:p>
    <w:tbl>
      <w:tblPr>
        <w:tblStyle w:val="5"/>
        <w:tblW w:w="1390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564"/>
        <w:gridCol w:w="7226"/>
        <w:gridCol w:w="1193"/>
        <w:gridCol w:w="2543"/>
      </w:tblGrid>
      <w:tr w14:paraId="5FB0B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380" w:type="dxa"/>
            <w:vAlign w:val="top"/>
          </w:tcPr>
          <w:p w14:paraId="64368995">
            <w:pPr>
              <w:spacing w:before="70" w:line="212" w:lineRule="auto"/>
              <w:ind w:left="2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活动类型</w:t>
            </w:r>
          </w:p>
        </w:tc>
        <w:tc>
          <w:tcPr>
            <w:tcW w:w="1564" w:type="dxa"/>
            <w:vAlign w:val="top"/>
          </w:tcPr>
          <w:p w14:paraId="785FAB0F">
            <w:pPr>
              <w:spacing w:before="70" w:line="212" w:lineRule="auto"/>
              <w:ind w:left="34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活动主题</w:t>
            </w:r>
          </w:p>
        </w:tc>
        <w:tc>
          <w:tcPr>
            <w:tcW w:w="7226" w:type="dxa"/>
            <w:vAlign w:val="top"/>
          </w:tcPr>
          <w:p w14:paraId="38E53C41">
            <w:pPr>
              <w:spacing w:before="70" w:line="212" w:lineRule="auto"/>
              <w:ind w:left="317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活动内容</w:t>
            </w:r>
          </w:p>
        </w:tc>
        <w:tc>
          <w:tcPr>
            <w:tcW w:w="1193" w:type="dxa"/>
            <w:vAlign w:val="top"/>
          </w:tcPr>
          <w:p w14:paraId="2DB8D2D0">
            <w:pPr>
              <w:spacing w:before="70" w:line="212" w:lineRule="auto"/>
              <w:ind w:left="1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活动形式</w:t>
            </w:r>
          </w:p>
        </w:tc>
        <w:tc>
          <w:tcPr>
            <w:tcW w:w="2543" w:type="dxa"/>
            <w:vAlign w:val="top"/>
          </w:tcPr>
          <w:p w14:paraId="47F5D69B">
            <w:pPr>
              <w:spacing w:before="70" w:line="212" w:lineRule="auto"/>
              <w:ind w:left="83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活动支持</w:t>
            </w:r>
          </w:p>
        </w:tc>
      </w:tr>
      <w:tr w14:paraId="70C05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380" w:type="dxa"/>
            <w:vAlign w:val="top"/>
          </w:tcPr>
          <w:p w14:paraId="1D517210">
            <w:pPr>
              <w:spacing w:line="319" w:lineRule="auto"/>
              <w:rPr>
                <w:rFonts w:ascii="Arial"/>
                <w:sz w:val="21"/>
              </w:rPr>
            </w:pPr>
          </w:p>
          <w:p w14:paraId="11205CFD">
            <w:pPr>
              <w:pStyle w:val="6"/>
              <w:spacing w:before="94" w:line="181" w:lineRule="auto"/>
              <w:ind w:left="13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数字化转型</w:t>
            </w:r>
          </w:p>
        </w:tc>
        <w:tc>
          <w:tcPr>
            <w:tcW w:w="1564" w:type="dxa"/>
            <w:vAlign w:val="top"/>
          </w:tcPr>
          <w:p w14:paraId="3276C445">
            <w:pPr>
              <w:pStyle w:val="6"/>
              <w:spacing w:before="117" w:line="204" w:lineRule="auto"/>
              <w:ind w:left="11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数智财资，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驱</w:t>
            </w:r>
          </w:p>
          <w:p w14:paraId="12986F34">
            <w:pPr>
              <w:pStyle w:val="6"/>
              <w:spacing w:before="1" w:line="180" w:lineRule="auto"/>
              <w:ind w:left="11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动企业财务数</w:t>
            </w:r>
          </w:p>
          <w:p w14:paraId="01D87806">
            <w:pPr>
              <w:pStyle w:val="6"/>
              <w:spacing w:before="39" w:line="180" w:lineRule="auto"/>
              <w:ind w:left="3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字化转型</w:t>
            </w:r>
          </w:p>
        </w:tc>
        <w:tc>
          <w:tcPr>
            <w:tcW w:w="7226" w:type="dxa"/>
            <w:vAlign w:val="top"/>
          </w:tcPr>
          <w:p w14:paraId="34D0CD0C">
            <w:pPr>
              <w:pStyle w:val="6"/>
              <w:spacing w:before="93" w:line="201" w:lineRule="auto"/>
              <w:ind w:left="102" w:right="95" w:firstLine="2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为企业提供全方位财务数字化服务方案，依托智能技术赋能财资管理，助</w:t>
            </w:r>
            <w:r>
              <w:rPr>
                <w:spacing w:val="-3"/>
                <w:sz w:val="22"/>
                <w:szCs w:val="22"/>
              </w:rPr>
              <w:t>力企业构建高效、透明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、可控的现代财务体系，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实现数字化转型的稳步推进。</w:t>
            </w:r>
          </w:p>
        </w:tc>
        <w:tc>
          <w:tcPr>
            <w:tcW w:w="1193" w:type="dxa"/>
            <w:vAlign w:val="top"/>
          </w:tcPr>
          <w:p w14:paraId="53331577">
            <w:pPr>
              <w:spacing w:line="321" w:lineRule="auto"/>
              <w:rPr>
                <w:rFonts w:ascii="Arial"/>
                <w:sz w:val="21"/>
              </w:rPr>
            </w:pPr>
          </w:p>
          <w:p w14:paraId="50EC7D94">
            <w:pPr>
              <w:pStyle w:val="6"/>
              <w:spacing w:before="95" w:line="177" w:lineRule="auto"/>
              <w:ind w:left="16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线下会议</w:t>
            </w:r>
          </w:p>
        </w:tc>
        <w:tc>
          <w:tcPr>
            <w:tcW w:w="2543" w:type="dxa"/>
            <w:vAlign w:val="top"/>
          </w:tcPr>
          <w:p w14:paraId="3F02C68D">
            <w:pPr>
              <w:pStyle w:val="6"/>
              <w:spacing w:before="94" w:line="183" w:lineRule="auto"/>
              <w:ind w:left="13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1.  </w:t>
            </w:r>
            <w:r>
              <w:rPr>
                <w:spacing w:val="-3"/>
                <w:sz w:val="22"/>
                <w:szCs w:val="22"/>
              </w:rPr>
              <w:t>提供场地支持</w:t>
            </w:r>
          </w:p>
          <w:p w14:paraId="4A204A20">
            <w:pPr>
              <w:pStyle w:val="6"/>
              <w:spacing w:before="31" w:line="183" w:lineRule="auto"/>
              <w:ind w:left="110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2.  </w:t>
            </w:r>
            <w:r>
              <w:rPr>
                <w:spacing w:val="-1"/>
                <w:sz w:val="22"/>
                <w:szCs w:val="22"/>
              </w:rPr>
              <w:t>提供全套课件支持</w:t>
            </w:r>
          </w:p>
          <w:p w14:paraId="32D03C54">
            <w:pPr>
              <w:pStyle w:val="6"/>
              <w:spacing w:before="34" w:line="182" w:lineRule="auto"/>
              <w:ind w:left="114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3.  </w:t>
            </w:r>
            <w:r>
              <w:rPr>
                <w:spacing w:val="-1"/>
                <w:sz w:val="22"/>
                <w:szCs w:val="22"/>
              </w:rPr>
              <w:t>提供专业师资支持</w:t>
            </w:r>
          </w:p>
        </w:tc>
      </w:tr>
      <w:tr w14:paraId="5D6CB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380" w:type="dxa"/>
            <w:vAlign w:val="top"/>
          </w:tcPr>
          <w:p w14:paraId="499EFE79">
            <w:pPr>
              <w:spacing w:line="277" w:lineRule="auto"/>
              <w:rPr>
                <w:rFonts w:ascii="Arial"/>
                <w:sz w:val="21"/>
              </w:rPr>
            </w:pPr>
          </w:p>
          <w:p w14:paraId="66D615DC">
            <w:pPr>
              <w:pStyle w:val="6"/>
              <w:spacing w:before="95" w:line="182" w:lineRule="auto"/>
              <w:ind w:left="24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融资促进</w:t>
            </w:r>
          </w:p>
        </w:tc>
        <w:tc>
          <w:tcPr>
            <w:tcW w:w="1564" w:type="dxa"/>
            <w:vAlign w:val="top"/>
          </w:tcPr>
          <w:p w14:paraId="33442696">
            <w:pPr>
              <w:pStyle w:val="6"/>
              <w:spacing w:before="213" w:line="214" w:lineRule="auto"/>
              <w:ind w:left="669" w:right="119" w:hanging="55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票证通服务方</w:t>
            </w:r>
            <w:r>
              <w:rPr>
                <w:sz w:val="22"/>
                <w:szCs w:val="22"/>
              </w:rPr>
              <w:t>案</w:t>
            </w:r>
          </w:p>
        </w:tc>
        <w:tc>
          <w:tcPr>
            <w:tcW w:w="7226" w:type="dxa"/>
            <w:vAlign w:val="top"/>
          </w:tcPr>
          <w:p w14:paraId="58741FC3">
            <w:pPr>
              <w:pStyle w:val="6"/>
              <w:spacing w:before="50" w:line="191" w:lineRule="auto"/>
              <w:ind w:left="103" w:right="95" w:hanging="1"/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面向优苗企业，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提供综合支付融资解决方案，详细介绍票据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、国内证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、云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e </w:t>
            </w:r>
            <w:r>
              <w:rPr>
                <w:spacing w:val="-4"/>
                <w:sz w:val="22"/>
                <w:szCs w:val="22"/>
              </w:rPr>
              <w:t>信等票证通业务， 旨在帮助企业降低融资成本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、简化操作流程，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全面提</w:t>
            </w:r>
            <w:r>
              <w:rPr>
                <w:spacing w:val="-1"/>
                <w:sz w:val="22"/>
                <w:szCs w:val="22"/>
              </w:rPr>
              <w:t>升资金周转与业务处理效率。</w:t>
            </w:r>
          </w:p>
        </w:tc>
        <w:tc>
          <w:tcPr>
            <w:tcW w:w="1193" w:type="dxa"/>
            <w:vAlign w:val="top"/>
          </w:tcPr>
          <w:p w14:paraId="76315468">
            <w:pPr>
              <w:spacing w:line="280" w:lineRule="auto"/>
              <w:rPr>
                <w:rFonts w:ascii="Arial"/>
                <w:sz w:val="21"/>
              </w:rPr>
            </w:pPr>
          </w:p>
          <w:p w14:paraId="2DC0ED80">
            <w:pPr>
              <w:pStyle w:val="6"/>
              <w:spacing w:before="95" w:line="177" w:lineRule="auto"/>
              <w:ind w:left="16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线下会议</w:t>
            </w:r>
          </w:p>
        </w:tc>
        <w:tc>
          <w:tcPr>
            <w:tcW w:w="2543" w:type="dxa"/>
            <w:vAlign w:val="top"/>
          </w:tcPr>
          <w:p w14:paraId="587D2DDE">
            <w:pPr>
              <w:pStyle w:val="6"/>
              <w:spacing w:before="51" w:line="183" w:lineRule="auto"/>
              <w:ind w:left="13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1.  </w:t>
            </w:r>
            <w:r>
              <w:rPr>
                <w:spacing w:val="-3"/>
                <w:sz w:val="22"/>
                <w:szCs w:val="22"/>
              </w:rPr>
              <w:t>提供场地支持</w:t>
            </w:r>
          </w:p>
          <w:p w14:paraId="4A774906">
            <w:pPr>
              <w:pStyle w:val="6"/>
              <w:spacing w:before="33" w:line="183" w:lineRule="auto"/>
              <w:ind w:left="110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2.  </w:t>
            </w:r>
            <w:r>
              <w:rPr>
                <w:spacing w:val="-1"/>
                <w:sz w:val="22"/>
                <w:szCs w:val="22"/>
              </w:rPr>
              <w:t>提供全套课件支持</w:t>
            </w:r>
          </w:p>
          <w:p w14:paraId="2F02BD78">
            <w:pPr>
              <w:pStyle w:val="6"/>
              <w:spacing w:before="32" w:line="165" w:lineRule="auto"/>
              <w:ind w:left="114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3.  </w:t>
            </w:r>
            <w:r>
              <w:rPr>
                <w:spacing w:val="-1"/>
                <w:sz w:val="22"/>
                <w:szCs w:val="22"/>
              </w:rPr>
              <w:t>提供专业师资支持</w:t>
            </w:r>
          </w:p>
        </w:tc>
      </w:tr>
      <w:tr w14:paraId="78681F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380" w:type="dxa"/>
            <w:vAlign w:val="top"/>
          </w:tcPr>
          <w:p w14:paraId="038626EC">
            <w:pPr>
              <w:spacing w:line="280" w:lineRule="auto"/>
              <w:rPr>
                <w:rFonts w:ascii="Arial"/>
                <w:sz w:val="21"/>
              </w:rPr>
            </w:pPr>
          </w:p>
          <w:p w14:paraId="17425ED1">
            <w:pPr>
              <w:pStyle w:val="6"/>
              <w:spacing w:before="94" w:line="180" w:lineRule="auto"/>
              <w:ind w:left="26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出海服务</w:t>
            </w:r>
          </w:p>
        </w:tc>
        <w:tc>
          <w:tcPr>
            <w:tcW w:w="1564" w:type="dxa"/>
            <w:vAlign w:val="top"/>
          </w:tcPr>
          <w:p w14:paraId="5AFD7B27">
            <w:pPr>
              <w:spacing w:line="280" w:lineRule="auto"/>
              <w:rPr>
                <w:rFonts w:ascii="Arial"/>
                <w:sz w:val="21"/>
              </w:rPr>
            </w:pPr>
          </w:p>
          <w:p w14:paraId="4728249E">
            <w:pPr>
              <w:pStyle w:val="6"/>
              <w:spacing w:before="95" w:line="180" w:lineRule="auto"/>
              <w:ind w:left="11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出海服务方案</w:t>
            </w:r>
          </w:p>
        </w:tc>
        <w:tc>
          <w:tcPr>
            <w:tcW w:w="7226" w:type="dxa"/>
            <w:vAlign w:val="top"/>
          </w:tcPr>
          <w:p w14:paraId="1AC46480">
            <w:pPr>
              <w:pStyle w:val="6"/>
              <w:spacing w:before="55" w:line="190" w:lineRule="auto"/>
              <w:ind w:left="101" w:right="95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解析全球化背景下企业出海的政策环境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、机遇与挑战，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并推介跨境融资、</w:t>
            </w:r>
            <w:r>
              <w:rPr>
                <w:spacing w:val="-1"/>
                <w:sz w:val="22"/>
                <w:szCs w:val="22"/>
              </w:rPr>
              <w:t>汇率风险管理、海外投资并购等综合服务方案，助力企业稳健拓展国际业</w:t>
            </w:r>
            <w:r>
              <w:rPr>
                <w:spacing w:val="-3"/>
                <w:sz w:val="22"/>
                <w:szCs w:val="22"/>
              </w:rPr>
              <w:t>务。</w:t>
            </w:r>
          </w:p>
        </w:tc>
        <w:tc>
          <w:tcPr>
            <w:tcW w:w="1193" w:type="dxa"/>
            <w:vAlign w:val="top"/>
          </w:tcPr>
          <w:p w14:paraId="13F19D88">
            <w:pPr>
              <w:spacing w:line="282" w:lineRule="auto"/>
              <w:rPr>
                <w:rFonts w:ascii="Arial"/>
                <w:sz w:val="21"/>
              </w:rPr>
            </w:pPr>
          </w:p>
          <w:p w14:paraId="5079DB51">
            <w:pPr>
              <w:pStyle w:val="6"/>
              <w:spacing w:before="95" w:line="177" w:lineRule="auto"/>
              <w:ind w:left="16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线下会议</w:t>
            </w:r>
          </w:p>
        </w:tc>
        <w:tc>
          <w:tcPr>
            <w:tcW w:w="2543" w:type="dxa"/>
            <w:vAlign w:val="top"/>
          </w:tcPr>
          <w:p w14:paraId="24B567D5">
            <w:pPr>
              <w:pStyle w:val="6"/>
              <w:spacing w:before="55" w:line="183" w:lineRule="auto"/>
              <w:ind w:left="13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1.  </w:t>
            </w:r>
            <w:r>
              <w:rPr>
                <w:spacing w:val="-3"/>
                <w:sz w:val="22"/>
                <w:szCs w:val="22"/>
              </w:rPr>
              <w:t>提供场地支持</w:t>
            </w:r>
          </w:p>
          <w:p w14:paraId="531E5E9B">
            <w:pPr>
              <w:pStyle w:val="6"/>
              <w:spacing w:before="31" w:line="183" w:lineRule="auto"/>
              <w:ind w:left="110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2.  </w:t>
            </w:r>
            <w:r>
              <w:rPr>
                <w:spacing w:val="-1"/>
                <w:sz w:val="22"/>
                <w:szCs w:val="22"/>
              </w:rPr>
              <w:t>提供全套课件支持</w:t>
            </w:r>
          </w:p>
          <w:p w14:paraId="72CF727C">
            <w:pPr>
              <w:pStyle w:val="6"/>
              <w:spacing w:before="31" w:line="164" w:lineRule="auto"/>
              <w:ind w:left="114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3.  </w:t>
            </w:r>
            <w:r>
              <w:rPr>
                <w:spacing w:val="-1"/>
                <w:sz w:val="22"/>
                <w:szCs w:val="22"/>
              </w:rPr>
              <w:t>提供专业师资支持</w:t>
            </w:r>
          </w:p>
        </w:tc>
      </w:tr>
      <w:tr w14:paraId="04A06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80" w:type="dxa"/>
            <w:vAlign w:val="top"/>
          </w:tcPr>
          <w:p w14:paraId="5726F2C7">
            <w:pPr>
              <w:spacing w:line="282" w:lineRule="auto"/>
              <w:rPr>
                <w:rFonts w:ascii="Arial"/>
                <w:sz w:val="21"/>
              </w:rPr>
            </w:pPr>
          </w:p>
          <w:p w14:paraId="7A39B960">
            <w:pPr>
              <w:pStyle w:val="6"/>
              <w:spacing w:before="94" w:line="180" w:lineRule="auto"/>
              <w:ind w:left="26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出海服务</w:t>
            </w:r>
          </w:p>
        </w:tc>
        <w:tc>
          <w:tcPr>
            <w:tcW w:w="1564" w:type="dxa"/>
            <w:vAlign w:val="top"/>
          </w:tcPr>
          <w:p w14:paraId="6B656141">
            <w:pPr>
              <w:pStyle w:val="6"/>
              <w:spacing w:before="219" w:line="213" w:lineRule="auto"/>
              <w:ind w:left="337" w:right="338" w:firstLine="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汇率避险</w:t>
            </w:r>
            <w:r>
              <w:rPr>
                <w:spacing w:val="-2"/>
                <w:sz w:val="22"/>
                <w:szCs w:val="22"/>
              </w:rPr>
              <w:t>服务方案</w:t>
            </w:r>
          </w:p>
        </w:tc>
        <w:tc>
          <w:tcPr>
            <w:tcW w:w="7226" w:type="dxa"/>
            <w:vAlign w:val="top"/>
          </w:tcPr>
          <w:p w14:paraId="45174D54">
            <w:pPr>
              <w:pStyle w:val="6"/>
              <w:spacing w:before="216" w:line="212" w:lineRule="auto"/>
              <w:ind w:left="100" w:right="95" w:firstLine="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系统解读汇率市场动态，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聚焦企业常见痛点</w:t>
            </w:r>
            <w:r>
              <w:rPr>
                <w:spacing w:val="-3"/>
                <w:sz w:val="22"/>
                <w:szCs w:val="22"/>
              </w:rPr>
              <w:t>，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为企业量身定制汇率风险管</w:t>
            </w:r>
            <w:r>
              <w:rPr>
                <w:spacing w:val="-2"/>
                <w:sz w:val="22"/>
                <w:szCs w:val="22"/>
              </w:rPr>
              <w:t>理方案，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通过多样化避险产品助力企业稳健经营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、应对市场波动。</w:t>
            </w:r>
          </w:p>
        </w:tc>
        <w:tc>
          <w:tcPr>
            <w:tcW w:w="1193" w:type="dxa"/>
            <w:vAlign w:val="top"/>
          </w:tcPr>
          <w:p w14:paraId="011AD765">
            <w:pPr>
              <w:spacing w:line="285" w:lineRule="auto"/>
              <w:rPr>
                <w:rFonts w:ascii="Arial"/>
                <w:sz w:val="21"/>
              </w:rPr>
            </w:pPr>
          </w:p>
          <w:p w14:paraId="79C70D85">
            <w:pPr>
              <w:pStyle w:val="6"/>
              <w:spacing w:before="94" w:line="177" w:lineRule="auto"/>
              <w:ind w:left="16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线下会议</w:t>
            </w:r>
          </w:p>
        </w:tc>
        <w:tc>
          <w:tcPr>
            <w:tcW w:w="2543" w:type="dxa"/>
            <w:vAlign w:val="top"/>
          </w:tcPr>
          <w:p w14:paraId="3CC25BAA">
            <w:pPr>
              <w:pStyle w:val="6"/>
              <w:spacing w:before="57" w:line="183" w:lineRule="auto"/>
              <w:ind w:left="13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1.  </w:t>
            </w:r>
            <w:r>
              <w:rPr>
                <w:spacing w:val="-3"/>
                <w:sz w:val="22"/>
                <w:szCs w:val="22"/>
              </w:rPr>
              <w:t>提供场地支持</w:t>
            </w:r>
          </w:p>
          <w:p w14:paraId="42C6A317">
            <w:pPr>
              <w:pStyle w:val="6"/>
              <w:spacing w:before="31" w:line="183" w:lineRule="auto"/>
              <w:ind w:left="110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2.  </w:t>
            </w:r>
            <w:r>
              <w:rPr>
                <w:spacing w:val="-1"/>
                <w:sz w:val="22"/>
                <w:szCs w:val="22"/>
              </w:rPr>
              <w:t>提供全套课件支持</w:t>
            </w:r>
          </w:p>
          <w:p w14:paraId="0FFFCC7E">
            <w:pPr>
              <w:pStyle w:val="6"/>
              <w:spacing w:before="34" w:line="165" w:lineRule="auto"/>
              <w:ind w:left="114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3.  </w:t>
            </w:r>
            <w:r>
              <w:rPr>
                <w:spacing w:val="-1"/>
                <w:sz w:val="22"/>
                <w:szCs w:val="22"/>
              </w:rPr>
              <w:t>提供专业师资支持</w:t>
            </w:r>
          </w:p>
        </w:tc>
      </w:tr>
    </w:tbl>
    <w:p w14:paraId="0FB0F8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F7D3E"/>
    <w:rsid w:val="73A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2026-04-15T07:43:00Z</dcterms:created>
  <dc:creator>沫</dc:creator>
  <cp:lastModifiedBy>沫</cp:lastModifiedBy>
  <dcterms:modified xsi:type="dcterms:W3CDTF">2026-04-15T07:44:22Z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03F9111413CE4E81A3D83CADFEB71C31_11</vt:lpwstr>
  </property>
  <property fmtid="{D5CDD505-2E9C-101B-9397-08002B2CF9AE}" pid="4" name="KSOTemplateDocerSaveRecord">
    <vt:lpwstr>eyJoZGlkIjoiNjM0ZDY5NzI2ZWIxOGI4MDdlMWYwYTYyMGE4ODUyY2EiLCJ1c2VySWQiOiIyOTAxMzQxODkifQ==</vt:lpwstr>
  </property>
</Properties>
</file>