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465">
      <w:pPr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32"/>
          <w:lang w:eastAsia="zh-CN"/>
        </w:rPr>
      </w:pPr>
    </w:p>
    <w:p w14:paraId="7E6383A6">
      <w:pPr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lang w:eastAsia="zh-CN"/>
        </w:rPr>
        <w:t>浙江省实施“星火计划”培育壮大未来产业</w:t>
      </w:r>
    </w:p>
    <w:p w14:paraId="7D2D404E">
      <w:pPr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lang w:eastAsia="zh-CN"/>
        </w:rPr>
        <w:t>行动方案（2026—2030年）</w:t>
      </w:r>
    </w:p>
    <w:p w14:paraId="139F9EFF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（征求意见稿）</w:t>
      </w:r>
    </w:p>
    <w:p w14:paraId="50C469E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22"/>
          <w:lang w:val="en-US" w:eastAsia="zh-CN"/>
        </w:rPr>
      </w:pPr>
    </w:p>
    <w:p w14:paraId="21BD3D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cs="Times New Roman"/>
          <w:bCs/>
          <w:sz w:val="32"/>
          <w:szCs w:val="32"/>
          <w:lang w:eastAsia="zh-CN"/>
        </w:rPr>
        <w:t>根据省委省政府关于建设创新浙江的战略部署和省“十五五”规划纲要具体安排，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抢抓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新一轮科技革命和产业变革机遇，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加快未来产业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科学布局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培育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新质生产力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cs="Times New Roman"/>
          <w:bCs/>
          <w:sz w:val="32"/>
          <w:szCs w:val="32"/>
          <w:lang w:eastAsia="zh-CN"/>
        </w:rPr>
        <w:t>打造新的经济增长点，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特制定本行动方案。</w:t>
      </w:r>
    </w:p>
    <w:p w14:paraId="37EADA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一、总体要求</w:t>
      </w:r>
    </w:p>
    <w:p w14:paraId="528E23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坚持科学谋划、全局统筹，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以科技创新和产业创新深度融合为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根本路径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以未来产业先导区加快科学布局，以培育人才（团队）、技术（产品）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、重点企业和创新场景为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重点任务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健全培育机制，全面推动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未来产业“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星星之火”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成燎原之势。到2030年，创新策源能力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显著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增强，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突破前沿技术100项，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未来产业先导区60个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人才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团队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00个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技术（产品）项目1000个、重点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00家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、创新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场景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00个，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打造标志性产品和场景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200项，未来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实现高速增长，在具身智能、生物制造等领域培育千亿级产业，助力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浙江特色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现代化产业体系建设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 w14:paraId="4CDACE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二、发展布局</w:t>
      </w:r>
    </w:p>
    <w:p w14:paraId="5CA166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（一）科学布局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新领域新赛道</w:t>
      </w:r>
    </w:p>
    <w:p w14:paraId="1C2979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19"/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19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综合考虑国家战略需求、技术成熟度、市场规模和我省资源禀赋，面向“十五五”时期科学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布局“10+X”未来产业。重点发展具身智能、生物</w:t>
      </w:r>
      <w:r>
        <w:rPr>
          <w:rStyle w:val="19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制造、量子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科技、脑机接口、氢能和绿色燃料、6G、前沿新材料、细胞与基因治疗、深海科技、空天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 w:bidi="ar"/>
        </w:rPr>
        <w:t>科技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等10个基础条件好、爆发力强的领域；前瞻布局类脑智能、可控核聚变、原子级制造等尚在孕育的新</w:t>
      </w:r>
      <w:r>
        <w:rPr>
          <w:rStyle w:val="19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赛道，发展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地理信息、眼脑健康、核医疗、零磁医疗等特色赛道，形成“X”个接力发展的新领域。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经信厅、省发展改革委、省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科技厅</w:t>
      </w:r>
      <w:r>
        <w:rPr>
          <w:rFonts w:hint="eastAsia" w:eastAsia="楷体_GB2312" w:cs="Times New Roman"/>
          <w:bCs/>
          <w:sz w:val="32"/>
          <w:szCs w:val="32"/>
          <w:u w:val="none"/>
          <w:lang w:eastAsia="zh-CN"/>
        </w:rPr>
        <w:t>、省海洋经济厅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各市、县〔市、区〕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政府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。列第一位的为牵头单位，各市、县〔市、区〕政府均为责任主体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不再列出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）</w:t>
      </w:r>
    </w:p>
    <w:tbl>
      <w:tblPr>
        <w:tblStyle w:val="13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 w14:paraId="32F4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8674" w:type="dxa"/>
            <w:noWrap w:val="0"/>
            <w:vAlign w:val="center"/>
          </w:tcPr>
          <w:p w14:paraId="670E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专栏1：未来产业</w:t>
            </w: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发展领域指引</w:t>
            </w:r>
          </w:p>
        </w:tc>
      </w:tr>
      <w:tr w14:paraId="54EC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674" w:type="dxa"/>
            <w:noWrap w:val="0"/>
            <w:vAlign w:val="top"/>
          </w:tcPr>
          <w:p w14:paraId="02D2D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1.具身智能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大力发展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以人形机器人为代表的具身智能产业，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系统推进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具身智能大模型、开发平台和系统软件技术创新与软硬件适配发展，做大做强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整机和关键部组件产业，推动在</w:t>
            </w:r>
            <w:r>
              <w:rPr>
                <w:rFonts w:hint="eastAsia" w:cs="Times New Roman"/>
                <w:color w:val="auto"/>
                <w:sz w:val="28"/>
                <w:szCs w:val="28"/>
                <w:lang w:eastAsia="zh-CN"/>
              </w:rPr>
              <w:t>制造、服务、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特种等领域市场化应用，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打造国际领先的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具身机器人产业集群。</w:t>
            </w:r>
          </w:p>
          <w:p w14:paraId="0E684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生物制造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全面发展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生物制药、生物化工与材料、生物农业与食品、生物能源与环保、生物信息等细分领域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，突破基因编辑与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合成生物技术，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人工智能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赋能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生物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创新及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化应用，打造全国领先的生物制造产业集群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。</w:t>
            </w:r>
          </w:p>
          <w:p w14:paraId="727EE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量子科技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重点发展量子计算核心赛道，做强量子测量优势赛道，做优量子通信潜力赛道，推动量子芯片、核心器件、软件算法与场景应用协同发展，加速量子技术产品规模化应用，抢占量子科技产业发展机遇，打造全国知名的量子产业创新发展高地。</w:t>
            </w:r>
          </w:p>
          <w:p w14:paraId="6739B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4.脑机接口。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发展侵入式、半侵入式和非侵入式脑机接口产品，配套发展软件算法、生物相容性电极、脑机接口芯片等基础软硬件和外接设备，推动在医疗、消费电子、工业等场景应用，打造全国重要的脑机接口产业创新策源地和应用示范区。</w:t>
            </w:r>
          </w:p>
          <w:p w14:paraId="62487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5.氢能和绿色燃料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一体化发展绿氢、绿氨、绿醇和可持续航空燃料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协同推进“制-储-运-加-用”和配套装备发展，推进在重卡、船舶、两轮车等交通领域规模化应用，试点推进工业领域氢基原料替代、掺烧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氢冶金等应用，打造全国氢能和绿色燃料示范应用先行地。</w:t>
            </w:r>
          </w:p>
          <w:p w14:paraId="36D7F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6.6G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围绕6G终端、通智融合、星地融合等重点方向，发展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通信光芯片、新型通信关键器件、核心模组、系统/终端设备和应用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解决方案，融合发展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太赫兹通信、空天地一体化通信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等前沿领域，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构建5G-A到6G的产业衔接链条，超前适配垂直行业需求，抢占6G发展先机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。</w:t>
            </w:r>
          </w:p>
          <w:p w14:paraId="60047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7.前沿新材料。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展柔性电子、新型显示设备及相关材料，发展氧化镓、金刚石、碳化硅、氮化镓等新一代半导体材料及器件，发展石墨烯薄膜、石墨烯粉体、石墨烯复合材料等石墨烯产品，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打造全国领先的前沿新材料产业集群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5DA4B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细胞与基因治疗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发展细胞免疫疗法、基因疗法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精准医疗产业，构建从新药研发、CDMO生产制备、质量检验检测、样本存储保藏到临床技术服务的全链条配套体系，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打造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国家重要的细胞与基因治疗研发和产业化高地。</w:t>
            </w:r>
          </w:p>
          <w:p w14:paraId="3BE4E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深海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发展海洋电子信息、深海采矿及装备、海洋药物和生物制品等细分赛道，打造海洋经济新增长极。</w:t>
            </w:r>
          </w:p>
          <w:p w14:paraId="50BBD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10.空天</w:t>
            </w:r>
            <w:r>
              <w:rPr>
                <w:rFonts w:hint="eastAsia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发展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火箭制造、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卫星制造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、地面设备及关键部组件，发展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卫星互联网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太空算力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、卫星发射研发服务和空天信息服务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，打造国际卫星数据应用高地。</w:t>
            </w:r>
          </w:p>
          <w:p w14:paraId="657A3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11.“X”新赛道。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紧盯前沿颠覆性技术与产业发展趋势，前瞻布局类脑智能、可控核聚变、原子级制造、智能仿生与超材料等远期潜力巨大的未来产业新赛道。推动技术交叉融合应用，识别高潜力技术组合，开辟“AI+”“量子+”“生物+”等新赛道。结合地方特色资源，发展时空与地理信息、眼脑健康、核医疗、零磁医疗等特色赛道。</w:t>
            </w:r>
          </w:p>
        </w:tc>
      </w:tr>
    </w:tbl>
    <w:p w14:paraId="271EC4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（二）统筹推进区域协调发展</w:t>
      </w:r>
    </w:p>
    <w:p w14:paraId="453555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19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Style w:val="19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加强区域统筹和领域协同，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推动构建全省未来产业“一核两带多极”发展布局。以杭州为核心打造创新策源地和人工智能赋能区，辐射带动全省未来产业发展，建设具有全球影响力的未来产业发展高地；依托G60科创大走廊，推动杭州、湖州、嘉兴、绍兴等地协同培育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浙北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未来产业带；依托甬江、环大罗山等科创走廊，推动宁波、舟山、温州、台州等地布局建设沿海未来产业带；推动金华、衢州、丽水等地结合资源禀赋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差异化布局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未来产业。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经信厅、省发展改革委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tbl>
      <w:tblPr>
        <w:tblStyle w:val="13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 w14:paraId="733C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8674" w:type="dxa"/>
            <w:noWrap w:val="0"/>
            <w:vAlign w:val="center"/>
          </w:tcPr>
          <w:p w14:paraId="1E2CB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afterAutospacing="0"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专栏</w:t>
            </w: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：</w:t>
            </w: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未来产业区域布局指引</w:t>
            </w:r>
          </w:p>
        </w:tc>
      </w:tr>
      <w:tr w14:paraId="62C7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8674" w:type="dxa"/>
            <w:noWrap w:val="0"/>
            <w:vAlign w:val="top"/>
          </w:tcPr>
          <w:p w14:paraId="572E4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1.杭州。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发挥杭州科创资源优势，重点发展具身智能、生物制造、类脑智能、量子科技、空天信息、6G等未来产业，前瞻布局原子级制造、零磁医疗等新赛道。</w:t>
            </w:r>
          </w:p>
          <w:p w14:paraId="35EDA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2.宁波。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依托宁波先进制造业集群，重点发展人形机器人、柔性电子、石墨烯、氢能等未来产业，前瞻布局核聚变能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、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智能仿生与超材料、深海科技等新赛道。</w:t>
            </w:r>
          </w:p>
          <w:p w14:paraId="7FCA5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3.温州。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依托温州“一港五谷”“风电母港”等产业平台，重点发展细胞与基因治疗、氢能与绿色燃料、眼脑健康等未来产业，前瞻布局6G、核技术应用等新赛道。</w:t>
            </w:r>
          </w:p>
          <w:p w14:paraId="2317C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4.湖州。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围绕建设‌国家可持续发展议程创新示范区‌，重点发展氢能和绿色燃料、前沿电池、细胞与基因治疗等未来产业，前瞻布局时空智能、空天装备等新赛道。</w:t>
            </w:r>
          </w:p>
          <w:p w14:paraId="74C3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5.嘉兴。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发挥嘉兴长三角区位优势，重点发展具身智能、氢能与绿色燃料、柔性电子、核医疗等未来产业，前瞻布局类脑智能、智能仿生与超材料等新赛道。</w:t>
            </w:r>
          </w:p>
          <w:p w14:paraId="4E75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6.绍兴。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依托绍兴生物医药、高端装备等先进制造业集群，重点发展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生物制造、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具身智能、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空天信息等未来产业，前瞻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布局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氢能与核聚变能、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前沿新材料等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新赛道</w:t>
            </w:r>
            <w:r>
              <w:rPr>
                <w:rFonts w:hint="default" w:ascii="Times New Roman" w:hAnsi="Times New Roman" w:eastAsia="仿宋_GB2312" w:cs="Times New Roman"/>
                <w:sz w:val="36"/>
                <w:szCs w:val="36"/>
                <w:lang w:bidi="ar"/>
              </w:rPr>
              <w:t>。</w:t>
            </w:r>
          </w:p>
          <w:p w14:paraId="5CCC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7.金华。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依托金华先进制造业集群，打造浙中科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创走廊，重点发展生物制造、氢能、新型显示等未来产业，前瞻布局量子科技、前沿新材料等新赛道。</w:t>
            </w:r>
          </w:p>
          <w:p w14:paraId="3245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8.衢州。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依托衢州先进制造业集群，重点发展前沿新材料、前沿电池、具身智能等未来产业，前瞻布局生物制造、氢能等新赛道。</w:t>
            </w:r>
          </w:p>
          <w:p w14:paraId="6952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9.舟山。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发挥舟山海洋经济优势，重点发展海洋信息、深海装备、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海洋药物和生物制品等未来产业，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前瞻布局氢能和绿色燃料、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海洋空天装备及服务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等新赛道。</w:t>
            </w:r>
          </w:p>
          <w:p w14:paraId="0893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10.台州。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依托台州先进制造业集群，重点发展具身智能、生物制造、空天装备等未来产业，前瞻布局氢能和绿色燃料、前沿新材料等新赛道。</w:t>
            </w:r>
          </w:p>
          <w:p w14:paraId="41BC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afterAutospacing="0" w:line="400" w:lineRule="exact"/>
              <w:ind w:firstLine="562" w:firstLineChars="200"/>
              <w:textAlignment w:val="auto"/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1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lang w:val="en-US" w:eastAsia="zh-CN"/>
              </w:rPr>
              <w:t>11.丽水。</w:t>
            </w:r>
            <w:r>
              <w:rPr>
                <w:rStyle w:val="19"/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发挥丽水生物质资源优势，重点发展生物制造、氢能与绿色燃料等未来产业，积极布局前沿新材料等新赛道。</w:t>
            </w:r>
          </w:p>
        </w:tc>
      </w:tr>
    </w:tbl>
    <w:p w14:paraId="57DEB9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（三）布局培育未来产业先导区</w:t>
      </w:r>
    </w:p>
    <w:p w14:paraId="66B2EA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Style w:val="19"/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支持各地依托科创资源、产业平台和特色资源优势培育未来产业先导区，按照“规划申报、筹建准备、论证遴选、评估提升”的培育闭环，加速未来产业规模化、集群化发展。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实施先导区攻坚任务“揭榜挂帅”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，支持技术成果产业化和场景建设，积极争创国家级先导区。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支持新增建设用地指标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更多用于新领域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项目建设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，鼓励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各地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用好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弹性年期出让、先租后让、租让结合等供应方式，探索混合产业用地供应。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经信厅、省自然资源厅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4BD2D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（四）推动“AI+未来产业”发展</w:t>
      </w:r>
    </w:p>
    <w:p w14:paraId="4C0A51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围绕大模型、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算力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数据、系统软件、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智能终端等全产业链，构筑自主生态，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推进智能体创新应用，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发展智能经济。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推进“AI+研发”范式创新，加速科学发现和技术突破进程，催生新技术新物种。推进“AI+制造”深度融合，革新生产制造方式和经营管理模式，催生新产品新模式。推进“AI+服务”应用创新，发展智能原生产品和服务，催生新应用新业态。应用人工智能辅助技术成果识别评价和企业精准培育工作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省发展改革委、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经信厅、省科技厅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239370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三、重点任务</w:t>
      </w:r>
    </w:p>
    <w:p w14:paraId="654A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 xml:space="preserve">（一）实施星火荟萃聚英行动，打造人才团队首选地  </w:t>
      </w:r>
    </w:p>
    <w:p w14:paraId="7E28D0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1.汇聚战略科学家力量。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与国际接轨的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选拔机制，引进拥有大兵团作战组织领导能力的战略科学家。建立符合战略科学家成长规律的“引育留用”机制，支持牵头建设实验室、领衔科技攻关任务等方式予以长期稳定支持，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培育一批前沿科技领域的“帅才”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鼓励高水平大学设立英才班，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培养更多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顶尖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人才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和青年人才。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（责任单位：省委组织部、省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教育厅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、省科技厅）</w:t>
      </w:r>
    </w:p>
    <w:p w14:paraId="6F24CD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2.引培高层次人才（团队）。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迭代编制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未来产业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紧缺人才目录，追踪学术前沿、挖掘高价值专利、跟踪大型科技企业，识别发现前沿技术领域高层次人才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支持高校院所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lang w:eastAsia="zh-CN"/>
        </w:rPr>
        <w:t>建设未来技术学院，培育交叉学科中心，发布重大领域交叉前沿方向指南，前瞻布局前沿技术交叉学科。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深化“企业认定、政府认账”和“校（院）企双聘”改革，创新“举荐直通车”“以才引才”“以赛引才”等方式引培高层次人才（团队）。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val="en-US" w:eastAsia="zh-CN"/>
        </w:rPr>
        <w:t>（责任单位：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none"/>
        </w:rPr>
        <w:t>省委组织部、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val="en-US" w:eastAsia="zh-CN"/>
        </w:rPr>
        <w:t>省经信厅、省教育厅、省科技厅）</w:t>
      </w:r>
    </w:p>
    <w:p w14:paraId="373860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3.壮大科技型企业家队伍。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搭建“科学家+企业家+投资家”合作交流平台，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促进“技术—产业—资本”精准匹配，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为科学家提供成果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转化落地的的渠道和机会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，为企业家提供技术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导入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和融资服务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。持续优化选育工作，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建立“科技型企业家后备库”，提供政策、智力、金融等差异化政策与服务支持，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大力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培育科技型企业家。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val="en-US" w:eastAsia="zh-CN"/>
        </w:rPr>
        <w:t>（责任单位：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none"/>
        </w:rPr>
        <w:t>省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none"/>
          <w:lang w:eastAsia="zh-CN"/>
        </w:rPr>
        <w:t>科协</w:t>
      </w:r>
      <w:r>
        <w:rPr>
          <w:rFonts w:hint="eastAsia" w:ascii="楷体_GB2312" w:hAnsi="楷体_GB2312" w:eastAsia="楷体_GB2312" w:cs="楷体_GB2312"/>
          <w:bCs/>
          <w:sz w:val="32"/>
          <w:szCs w:val="32"/>
          <w:u w:val="none"/>
        </w:rPr>
        <w:t>、</w:t>
      </w:r>
      <w:r>
        <w:rPr>
          <w:rFonts w:hint="eastAsia" w:ascii="楷体_GB2312" w:hAnsi="楷体_GB2312" w:eastAsia="楷体_GB2312" w:cs="楷体_GB2312"/>
          <w:sz w:val="32"/>
          <w:szCs w:val="22"/>
          <w:highlight w:val="none"/>
          <w:lang w:val="en-US" w:eastAsia="zh-CN"/>
        </w:rPr>
        <w:t>省经信厅、省教育厅、省科技厅）</w:t>
      </w:r>
    </w:p>
    <w:p w14:paraId="2F829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（二）实施星火破晓攻坚行动，打造技术创新策源地</w:t>
      </w:r>
    </w:p>
    <w:p w14:paraId="65F15A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1.科学论证技术发展路线。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加强基础理论研究和底层技术研发，开展颠覆性技术挖掘甄别，绘制多元技术路线图，加速科学发现和技术突破。应用人工智能技术进行情景推演，对不同技术路径发展轨迹与潜在影响进行预测分析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建立未来产业“瞭望站”，动态跟踪全球创新动态与产业突破方向。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科技厅、省发展改革委、省经信厅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23FD93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2.提能升级科技创新平台。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推进高水平大学建设，提升实验室体系建设能级，加快超重力和极弱磁国家大科学装置建设，打造战略科技力量。围绕重点领域布局建设一批制造业创新中心</w:t>
      </w:r>
      <w:r>
        <w:rPr>
          <w:rFonts w:hint="eastAsia" w:cs="Times New Roman"/>
          <w:b w:val="0"/>
          <w:bCs/>
          <w:color w:val="000000"/>
          <w:sz w:val="32"/>
          <w:szCs w:val="32"/>
          <w:lang w:val="en-US" w:eastAsia="zh-CN"/>
        </w:rPr>
        <w:t>和技术创新中心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高水平建设概念验证中心和中试平台，对认定为省级以上的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创新中心和中试平台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给予资金支持。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科技厅、省发展改革委、省经信厅、省教育厅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2D7FF9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3.集中突破关键核心技术。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"/>
        </w:rPr>
        <w:t>坚持“产业出题、科技答题”，常态化征集企业技术攻关需求，聚焦未来产业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重点领域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实施重大科技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 w:bidi="ar"/>
        </w:rPr>
        <w:t>专项。积极争取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国家重大科技项目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 w:bidi="ar"/>
        </w:rPr>
        <w:t>，建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立国家项目申报推荐统筹机制，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 w:bidi="ar"/>
        </w:rPr>
        <w:t>支持一批省级重点攻关项目上升为国家项目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。鼓励地方自主选题，省地联动实施一批省地协同项目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bidi="ar"/>
        </w:rPr>
        <w:t>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科技厅、省发展改革委、省经信厅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54842C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641"/>
        <w:jc w:val="both"/>
        <w:textAlignment w:val="auto"/>
        <w:outlineLvl w:val="9"/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4.畅通技术成果供给渠道。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spacing w:val="0"/>
          <w:kern w:val="2"/>
          <w:sz w:val="32"/>
          <w:szCs w:val="32"/>
          <w:highlight w:val="none"/>
          <w:lang w:val="en-US" w:eastAsia="zh-CN"/>
        </w:rPr>
        <w:t>建设技术转移转化服务机构，培育专业化科技中介和技术经理人。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实施科创平台“伙伴计划”，推进“平台＋高校＋企业＋产业链”结对合作。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举办技术创新大赛、创新创业大赛、场景应用大赛等活动，</w:t>
      </w:r>
      <w:r>
        <w:rPr>
          <w:rFonts w:hint="default" w:ascii="Times New Roman" w:hAnsi="Times New Roman" w:eastAsia="仿宋_GB2312" w:cs="Times New Roman"/>
          <w:bCs w:val="0"/>
          <w:i w:val="0"/>
          <w:caps w:val="0"/>
          <w:spacing w:val="0"/>
          <w:kern w:val="2"/>
          <w:sz w:val="32"/>
          <w:szCs w:val="32"/>
          <w:highlight w:val="none"/>
          <w:lang w:val="en-US" w:eastAsia="zh-CN"/>
        </w:rPr>
        <w:t>面向全球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引进先进技术成果和人才（团队）项目，支持</w:t>
      </w:r>
      <w:r>
        <w:rPr>
          <w:rFonts w:hint="default" w:ascii="Times New Roman" w:hAnsi="Times New Roman" w:eastAsia="仿宋_GB2312" w:cs="Times New Roman"/>
          <w:sz w:val="32"/>
          <w:szCs w:val="36"/>
          <w:u w:val="none"/>
          <w:lang w:val="en-US" w:eastAsia="zh-CN"/>
        </w:rPr>
        <w:t>设立科技企业，</w:t>
      </w:r>
      <w:r>
        <w:rPr>
          <w:rFonts w:hint="default" w:ascii="Times New Roman" w:hAnsi="Times New Roman" w:eastAsia="仿宋_GB2312" w:cs="Times New Roman"/>
          <w:sz w:val="32"/>
          <w:szCs w:val="36"/>
          <w:u w:val="none"/>
        </w:rPr>
        <w:t>打响“全球创新、浙江转化”品牌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楷体_GB2312" w:cs="Times New Roman"/>
          <w:bCs w:val="0"/>
          <w:i w:val="0"/>
          <w:caps w:val="0"/>
          <w:spacing w:val="0"/>
          <w:kern w:val="2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</w:rPr>
        <w:t>责任单位：省经信厅、省教育厅、省科技厅、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  <w:lang w:val="en-US" w:eastAsia="zh-CN"/>
        </w:rPr>
        <w:t>省商务厅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</w:rPr>
        <w:t>）</w:t>
      </w:r>
    </w:p>
    <w:p w14:paraId="3284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（三）实施星火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成炬引凤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行动，打造产业化发展集聚地</w:t>
      </w:r>
    </w:p>
    <w:p w14:paraId="730027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1.科技孵化培育项目。</w:t>
      </w:r>
      <w:r>
        <w:rPr>
          <w:rFonts w:hint="default" w:ascii="Times New Roman" w:hAnsi="Times New Roman" w:eastAsia="仿宋_GB2312" w:cs="Times New Roman"/>
          <w:sz w:val="32"/>
          <w:szCs w:val="36"/>
          <w:u w:val="none"/>
        </w:rPr>
        <w:t>支持建设科技型企业孵化器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实创业孵化载体税收优惠等政策，对新认定的按标准给予奖励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引导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投资机构联合科创平台开办“星火训练营”，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探索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“科学家+企业家+投资家”的企业孵化模式，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为掌握核心技术的企业和人才（团队）提供创业辅导、资源导入和融资服务，培育一批潜力企业。</w:t>
      </w:r>
      <w:r>
        <w:rPr>
          <w:rFonts w:hint="default" w:ascii="Times New Roman" w:hAnsi="Times New Roman" w:eastAsia="楷体_GB2312" w:cs="Times New Roman"/>
          <w:bCs w:val="0"/>
          <w:i w:val="0"/>
          <w:caps w:val="0"/>
          <w:spacing w:val="0"/>
          <w:kern w:val="2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</w:rPr>
        <w:t>责任单位：省经信厅、省科技厅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  <w:lang w:eastAsia="zh-CN"/>
        </w:rPr>
        <w:t>、省创新投资集团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</w:rPr>
        <w:t>）</w:t>
      </w:r>
    </w:p>
    <w:p w14:paraId="1A363C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2.精准招引集聚项目。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适应未来产业发展规律，培养专业化招商队伍，创新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“招投联动”“以商招商”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等方式，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招引优质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企业和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项目。分析产业链节点关键技术、主导产品和核心企业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" w:eastAsia="zh-CN"/>
        </w:rPr>
        <w:t>通过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“产业链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图谱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+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大数据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</w:rPr>
        <w:t>”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招引一批</w:t>
      </w:r>
      <w:r>
        <w:rPr>
          <w:rFonts w:hint="eastAsia" w:cs="Times New Roman"/>
          <w:bCs w:val="0"/>
          <w:kern w:val="2"/>
          <w:sz w:val="32"/>
          <w:szCs w:val="32"/>
          <w:highlight w:val="none"/>
          <w:lang w:eastAsia="zh-CN"/>
        </w:rPr>
        <w:t>建链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eastAsia="zh-CN"/>
        </w:rPr>
        <w:t>强链补链项目。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/>
        </w:rPr>
        <w:t>鼓励各地探索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场景招商新模式，深入挖掘场景资源，通过开放一批场景，引进一批项目，培育一类产业。</w:t>
      </w:r>
      <w:r>
        <w:rPr>
          <w:rFonts w:hint="default" w:ascii="Times New Roman" w:hAnsi="Times New Roman" w:eastAsia="楷体_GB2312" w:cs="Times New Roman"/>
          <w:bCs w:val="0"/>
          <w:i w:val="0"/>
          <w:caps w:val="0"/>
          <w:spacing w:val="0"/>
          <w:kern w:val="2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</w:rPr>
        <w:t>责任单位：省经信厅、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  <w:lang w:eastAsia="zh-CN"/>
        </w:rPr>
        <w:t>省发展改革委、省商务厅、省创新投资集团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</w:rPr>
        <w:t>）</w:t>
      </w:r>
    </w:p>
    <w:p w14:paraId="7F7F5B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3.内生裂变衍生项目。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鼓励优势企业通过业务剥离、公司分拆、裂变创业、并购投资等方式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设立新企业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 w:bidi="ar"/>
        </w:rPr>
        <w:t>项目、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布局新赛道。完善内生项目生成、流转、落地全链条管理服务体系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bidi="ar"/>
        </w:rPr>
        <w:t>省属和地方国资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 w:bidi="ar"/>
        </w:rPr>
        <w:t>企业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 w:bidi="ar"/>
        </w:rPr>
        <w:t>与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val="en-US" w:eastAsia="zh-CN" w:bidi="ar"/>
        </w:rPr>
        <w:t>省外头部企业和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央国企合作，落地一批新项目或生产基地，对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投向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 w:bidi="ar"/>
        </w:rPr>
        <w:t>未来产业领域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bidi="ar"/>
        </w:rPr>
        <w:t>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在经营业绩考核中可采用差异化的分类考核方式。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</w:rPr>
        <w:t>（责任单位：省经信厅、省国资委</w:t>
      </w:r>
      <w:r>
        <w:rPr>
          <w:rFonts w:hint="default" w:ascii="Times New Roman" w:hAnsi="Times New Roman" w:eastAsia="楷体_GB2312" w:cs="Times New Roman"/>
          <w:bCs w:val="0"/>
          <w:kern w:val="2"/>
          <w:sz w:val="32"/>
          <w:szCs w:val="32"/>
          <w:highlight w:val="none"/>
          <w:lang w:eastAsia="zh-CN"/>
        </w:rPr>
        <w:t>）</w:t>
      </w:r>
    </w:p>
    <w:p w14:paraId="47857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（四）实施星火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璀璨强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企行动，打造科创企业成长地</w:t>
      </w:r>
    </w:p>
    <w:p w14:paraId="7D67E6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1.选苗育优初创企业。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健全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bidi="ar"/>
        </w:rPr>
        <w:t>“研发—验证—孵化—加速—产业化</w:t>
      </w:r>
      <w:r>
        <w:rPr>
          <w:rFonts w:hint="eastAsia" w:cs="Times New Roman"/>
          <w:bCs/>
          <w:sz w:val="32"/>
          <w:szCs w:val="32"/>
          <w:u w:val="none"/>
          <w:lang w:eastAsia="zh-CN" w:bidi="ar"/>
        </w:rPr>
        <w:t>、集群化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bidi="ar"/>
        </w:rPr>
        <w:t>”全周期服务体系，</w:t>
      </w:r>
      <w:r>
        <w:rPr>
          <w:rFonts w:hint="default" w:ascii="Times New Roman" w:hAnsi="Times New Roman" w:eastAsia="仿宋_GB2312" w:cs="Times New Roman"/>
          <w:sz w:val="32"/>
          <w:szCs w:val="36"/>
          <w:u w:val="none"/>
        </w:rPr>
        <w:t>培育量大面广的小微企业和初创企业。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实施专利产业化促进中小企业成长“金种子”计划和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高价值专利培育专项。</w:t>
      </w:r>
      <w:r>
        <w:rPr>
          <w:rFonts w:hint="default" w:ascii="Times New Roman" w:hAnsi="Times New Roman" w:eastAsia="仿宋_GB2312" w:cs="Times New Roman"/>
          <w:sz w:val="32"/>
          <w:szCs w:val="36"/>
          <w:u w:val="none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6"/>
          <w:u w:val="none"/>
          <w:lang w:val="en-US" w:eastAsia="zh-CN"/>
        </w:rPr>
        <w:t>各地</w:t>
      </w:r>
      <w:r>
        <w:rPr>
          <w:rFonts w:hint="default" w:ascii="Times New Roman" w:hAnsi="Times New Roman" w:eastAsia="仿宋_GB2312" w:cs="Times New Roman"/>
          <w:sz w:val="32"/>
          <w:szCs w:val="36"/>
          <w:u w:val="none"/>
          <w:lang w:eastAsia="zh-CN"/>
        </w:rPr>
        <w:t>实施“润苗计划”“种子计划”，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充分挖掘产业链、股权投资、知识产权等数据信息，发现和培育潜在优质中小企业。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（责任单位：省经信厅、省科技厅、省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市场监管局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5ED1B8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2.精准扶持成长企业。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引导成长期企业完善组织架构、股权方式、经营业态和产品创新，对标成长为高新技术企业或专精特新企业，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培育一批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“小巨人”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和独角兽企业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支持组建企业技术中心、研究院等研发机构，提高技术创新能力。推行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“创新积分制”，助力金融机构精准支持科创企业发展。实施企业管理现代化对标提升工程，培育一批管理现代化企业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（责任单位：省经信厅、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省科技厅、浙江金融监管局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65664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="0" w:afterAutospacing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3.做大做强领军企业。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支持领军企业牵头组建创新联合体，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bidi="ar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 w:bidi="ar"/>
        </w:rPr>
        <w:t>省</w:t>
      </w:r>
      <w:r>
        <w:rPr>
          <w:rFonts w:hint="eastAsia" w:cs="Times New Roman"/>
          <w:sz w:val="32"/>
          <w:szCs w:val="32"/>
          <w:u w:val="none"/>
          <w:lang w:eastAsia="zh-CN" w:bidi="ar"/>
        </w:rPr>
        <w:t>级及以上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 w:bidi="ar"/>
        </w:rPr>
        <w:t>重大科技计划项目，增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强体系化创新能力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 w:bidi="ar"/>
        </w:rPr>
        <w:t>。开展“走进链主”活动，助力产业链上下游对接和市场开拓，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"/>
        </w:rPr>
        <w:t>培育一批链主企业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深化实施“凤凰行动”，提供股改、上市、并购、重组等“一对一”服务。支持领军企业通过跨国兼并收购重组，推动品牌国际化，提升国际知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名度。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（责任单位：省经信厅、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省委金融办、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省科技厅、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浙江证监局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592FB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（五）实施星火燎原壮大行动，打造场景引领先行地</w:t>
      </w:r>
    </w:p>
    <w:p w14:paraId="1341FAA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1.推动场景开放合作。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实施“准入—场景—要素”改革，多渠道推动场景开放，深度挖掘一批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场景需求。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常态化征集场景需求，通过“浙里探场”对场景需求进行凝练打磨，对新技术产品供给方进行精准画像。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定期发布场景机会清单和能力供给清单，组织场景对接、场景路演、场景体验等活动，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落实政府采购创新产品政策，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推动新技术新产品新场景示范应用。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经信厅、省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发展改革委、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省科技厅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、省国资委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5F33071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2.打造典型应用场景。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围绕推进未来产业技术（产品）落地应用，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明确场景核心需求、适配技术产品和落地条件，建库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  <w:t>小切口高价值场景、行业领域集成式场景和综合性重大场景。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实施创新场景“揭榜挂帅”，支持场景业主方或能力供给方牵头组建创新生态共同体，打造一批典型应用场景。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发展改革委、省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经信厅、省科技厅）</w:t>
      </w:r>
    </w:p>
    <w:p w14:paraId="33A7E70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3.探索可行商业模式。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发展模型即服务、算法定制、数据交易、技术合同外包等轻资产技术服务模式，探索开源商业化、卫星组网服务、低空运营调度等平台生态模式。发展“机器人+服务”“设备租赁+运营托管”等软硬件一体化服务模式，推进“源网荷储”一体化、碳资产激励、绿电直连等新型能源模式发展。完善首台（套）装备、首批次材料、首版次软件保险补偿机制，探索先投后股、产出分成、效果付费等商业变现模式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经信厅、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省发展改革委、省市场监管局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0F62B9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4.健全场景应用支撑体系。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有序推进新型算力、卫星互联网、低空智联网、</w:t>
      </w:r>
      <w:r>
        <w:rPr>
          <w:rFonts w:hint="eastAsia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G-A/6G试验网等新型基础设施建设，鼓励各地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建设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场景创新中心、数据采集平台和训练场，支撑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场景落地应用。在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191919"/>
          <w:spacing w:val="0"/>
          <w:kern w:val="2"/>
          <w:sz w:val="32"/>
          <w:szCs w:val="32"/>
          <w:highlight w:val="none"/>
          <w:lang w:val="en-US" w:eastAsia="zh-CN"/>
        </w:rPr>
        <w:t>新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191919"/>
          <w:spacing w:val="0"/>
          <w:kern w:val="2"/>
          <w:sz w:val="32"/>
          <w:szCs w:val="32"/>
          <w:highlight w:val="none"/>
        </w:rPr>
        <w:t>领域布局建设一批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191919"/>
          <w:spacing w:val="0"/>
          <w:kern w:val="2"/>
          <w:sz w:val="32"/>
          <w:szCs w:val="32"/>
          <w:highlight w:val="none"/>
          <w:lang w:val="en-US" w:eastAsia="zh-CN"/>
        </w:rPr>
        <w:t>知识产权运营中心、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191919"/>
          <w:spacing w:val="0"/>
          <w:kern w:val="2"/>
          <w:sz w:val="32"/>
          <w:szCs w:val="32"/>
          <w:highlight w:val="none"/>
        </w:rPr>
        <w:t>检验检测及质量基础设施“一站式”服务平台</w:t>
      </w:r>
      <w:r>
        <w:rPr>
          <w:rFonts w:hint="default" w:ascii="Times New Roman" w:hAnsi="Times New Roman" w:eastAsia="仿宋_GB2312" w:cs="Times New Roman"/>
          <w:bCs/>
          <w:i w:val="0"/>
          <w:iCs w:val="0"/>
          <w:caps w:val="0"/>
          <w:color w:val="191919"/>
          <w:spacing w:val="0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组建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一批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标准化技术组织，研制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一批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关键性标准。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责任单位：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省发展改革委、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省经信厅、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省交通运输厅、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省市场监管局）</w:t>
      </w:r>
    </w:p>
    <w:p w14:paraId="4B34FE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四、机制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保障</w:t>
      </w:r>
    </w:p>
    <w:p w14:paraId="21C93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（一）健全“1+4”培育机制。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在省制造业高质量发展（数字经济发展）领导小组的统筹协调下，加强科学规划与政策引导，坚持以先导区</w:t>
      </w:r>
      <w:r>
        <w:rPr>
          <w:rFonts w:hint="eastAsia" w:cs="Times New Roman"/>
          <w:bCs/>
          <w:color w:val="auto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加快未来产业科学布局，以未来产业“四库”</w:t>
      </w:r>
      <w:r>
        <w:rPr>
          <w:rFonts w:hint="eastAsia" w:cs="Times New Roman"/>
          <w:bCs/>
          <w:color w:val="auto"/>
          <w:sz w:val="32"/>
          <w:szCs w:val="32"/>
          <w:lang w:val="en-US" w:eastAsia="zh-CN"/>
        </w:rPr>
        <w:t>建设筑牢</w:t>
      </w:r>
      <w:r>
        <w:rPr>
          <w:rFonts w:hint="eastAsia" w:cs="Times New Roman"/>
          <w:bCs/>
          <w:color w:val="auto"/>
          <w:sz w:val="32"/>
          <w:szCs w:val="32"/>
          <w:lang w:eastAsia="zh-CN"/>
        </w:rPr>
        <w:t>发展根基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，建立省级部门联动、省市县协同，构建“产学研用金”深度融合的一流创新生态，培育壮大未来产业成星火燎原之势。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（责任单位：省经信厅、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省发展改革委、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科技厅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487FF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（二）完善技术预见机制。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充分发挥高校院所、行业协会和浙江省未来产业专家委员会的作用，有组织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开展前沿技术预见工作，识别前沿颠覆性技术，科学论证技术路线，研判产业发展方向，科学指引未来产业科学布局，系统推进前沿技术攻关、新产品开发、新场景应用，助力精准引育企业创新主体和人才（团队），形成未来产业创新发展的决策支撑体系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（责任单位：省经信厅、省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科技厅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省科协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164C9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（三）建立投入增长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风险分担机制。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探索构建企业主体积极投入、社会资本放心投资、金融保险全面赋能、政府资金稳定支持、要素资源充分保障的多元投入增长机制和风险分担机制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。针对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  <w:lang w:val="en-US" w:eastAsia="zh-CN"/>
        </w:rPr>
        <w:t>初创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期、成长期、成熟期等不同阶段，</w:t>
      </w:r>
      <w:bookmarkStart w:id="1" w:name="_GoBack"/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yellow"/>
          <w:u w:val="none"/>
          <w:lang w:val="en-US" w:eastAsia="zh-CN"/>
        </w:rPr>
        <w:t>探索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yellow"/>
          <w:u w:val="none"/>
        </w:rPr>
        <w:t>设计差异化的投入方式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yellow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yellow"/>
          <w:u w:val="none"/>
        </w:rPr>
        <w:t>建立相适应的股权架构、资本结构和人才激励方案，</w:t>
      </w:r>
      <w:bookmarkEnd w:id="1"/>
      <w:r>
        <w:rPr>
          <w:rFonts w:hint="default" w:ascii="Times New Roman" w:hAnsi="Times New Roman" w:eastAsia="仿宋_GB2312" w:cs="Times New Roman"/>
          <w:bCs/>
          <w:sz w:val="32"/>
          <w:szCs w:val="32"/>
          <w:u w:val="none"/>
        </w:rPr>
        <w:t>激发企业内生动力。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（责任单位：省经信厅、省委金融办、省发展改革委、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省科技厅、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省财政厅、浙江金融监管局、省创新投资集团）</w:t>
      </w:r>
    </w:p>
    <w:p w14:paraId="5440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both"/>
        <w:textAlignment w:val="auto"/>
        <w:outlineLvl w:val="1"/>
        <w:rPr>
          <w:rFonts w:hint="default" w:ascii="仿宋_GB231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（四）建立包容审慎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治理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机制。</w:t>
      </w:r>
      <w:bookmarkStart w:id="0" w:name="_Toc11539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针对未来产业前瞻性</w:t>
      </w:r>
      <w:r>
        <w:rPr>
          <w:rFonts w:hint="eastAsia" w:cs="Times New Roman"/>
          <w:bCs/>
          <w:color w:val="auto"/>
          <w:sz w:val="32"/>
          <w:szCs w:val="32"/>
          <w:lang w:val="en-US" w:eastAsia="zh-CN"/>
        </w:rPr>
        <w:t>、长周期、不确定性的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特点，破除不合理限制创新产品进入市场的制度障碍，在新业态新领域开展放宽市场准入试点。探索“沙盒”监管、触发式监管、信用监管等新监管方式。完善科技伦理制度规范，</w:t>
      </w:r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健全具身智能、生物技术等前沿领域法律法规。推动建立跨部门联合治理模式，构建多方参与、政企协同的未来产业治理格局。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（责任单位：省经信厅、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省发展改革委、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省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科技厅、省市场监管局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69BB3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beforeAutospacing="0" w:afterAutospacing="0" w:line="58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E37013-5C3E-4511-BE69-CF7920B9C0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A49E3D-D686-41BB-A60C-F945FFEA551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332482-EAF3-4A5C-AFB0-DD67C8E8765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855B7B-D65A-4805-AF24-3FF2A1928E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1F49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8F81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8F81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3748"/>
    <w:rsid w:val="02184720"/>
    <w:rsid w:val="04A42800"/>
    <w:rsid w:val="04C44C50"/>
    <w:rsid w:val="04EA2E17"/>
    <w:rsid w:val="051379D8"/>
    <w:rsid w:val="055F6DBB"/>
    <w:rsid w:val="0579D6E4"/>
    <w:rsid w:val="05B1513F"/>
    <w:rsid w:val="06BC31AB"/>
    <w:rsid w:val="06CD2D02"/>
    <w:rsid w:val="076F71CB"/>
    <w:rsid w:val="07F663BA"/>
    <w:rsid w:val="0AFD710E"/>
    <w:rsid w:val="0CB4627B"/>
    <w:rsid w:val="0D035F7B"/>
    <w:rsid w:val="0D6276FC"/>
    <w:rsid w:val="0E467A76"/>
    <w:rsid w:val="0EA07F35"/>
    <w:rsid w:val="0FDC3796"/>
    <w:rsid w:val="0FF9440B"/>
    <w:rsid w:val="10DE52EC"/>
    <w:rsid w:val="11D02032"/>
    <w:rsid w:val="13FF998C"/>
    <w:rsid w:val="14D3556A"/>
    <w:rsid w:val="15AC6420"/>
    <w:rsid w:val="15D078F9"/>
    <w:rsid w:val="17679D2C"/>
    <w:rsid w:val="179D3A12"/>
    <w:rsid w:val="18C67773"/>
    <w:rsid w:val="18F7512B"/>
    <w:rsid w:val="197D4D53"/>
    <w:rsid w:val="19B555A2"/>
    <w:rsid w:val="1BE03343"/>
    <w:rsid w:val="1D5AE938"/>
    <w:rsid w:val="1EA47B9E"/>
    <w:rsid w:val="1EEB3B70"/>
    <w:rsid w:val="1F711AB5"/>
    <w:rsid w:val="202D76F6"/>
    <w:rsid w:val="204B1E7E"/>
    <w:rsid w:val="218800E6"/>
    <w:rsid w:val="21AF5F6C"/>
    <w:rsid w:val="21BA320B"/>
    <w:rsid w:val="22904DF6"/>
    <w:rsid w:val="234C23C0"/>
    <w:rsid w:val="23C12F77"/>
    <w:rsid w:val="23E31820"/>
    <w:rsid w:val="25C437F7"/>
    <w:rsid w:val="26170C2C"/>
    <w:rsid w:val="26C879CF"/>
    <w:rsid w:val="27271343"/>
    <w:rsid w:val="27636091"/>
    <w:rsid w:val="27D37FCC"/>
    <w:rsid w:val="27FE7063"/>
    <w:rsid w:val="29332221"/>
    <w:rsid w:val="29807A95"/>
    <w:rsid w:val="2E9A2736"/>
    <w:rsid w:val="2EBEF0AE"/>
    <w:rsid w:val="2EF8778A"/>
    <w:rsid w:val="2EFF46CB"/>
    <w:rsid w:val="2F214369"/>
    <w:rsid w:val="2F374A5B"/>
    <w:rsid w:val="2F43792E"/>
    <w:rsid w:val="2FC81609"/>
    <w:rsid w:val="2FDCA0BF"/>
    <w:rsid w:val="2FEA7093"/>
    <w:rsid w:val="2FFE1061"/>
    <w:rsid w:val="3016105A"/>
    <w:rsid w:val="30261CAA"/>
    <w:rsid w:val="318B0720"/>
    <w:rsid w:val="31D7C064"/>
    <w:rsid w:val="326C418B"/>
    <w:rsid w:val="330B12D4"/>
    <w:rsid w:val="331309CD"/>
    <w:rsid w:val="335C6769"/>
    <w:rsid w:val="33FF983E"/>
    <w:rsid w:val="35075999"/>
    <w:rsid w:val="3574374F"/>
    <w:rsid w:val="35C10BB4"/>
    <w:rsid w:val="35FAFCF1"/>
    <w:rsid w:val="36AEE62A"/>
    <w:rsid w:val="36F7CF4C"/>
    <w:rsid w:val="36FF9FCA"/>
    <w:rsid w:val="37ED4F33"/>
    <w:rsid w:val="389C49DF"/>
    <w:rsid w:val="38C84008"/>
    <w:rsid w:val="39646694"/>
    <w:rsid w:val="39F7CB43"/>
    <w:rsid w:val="3AA20FB4"/>
    <w:rsid w:val="3BFFF0BA"/>
    <w:rsid w:val="3CDD12FB"/>
    <w:rsid w:val="3D79B04B"/>
    <w:rsid w:val="3E6E3130"/>
    <w:rsid w:val="3E6E6435"/>
    <w:rsid w:val="3E7F4F93"/>
    <w:rsid w:val="3EC29B92"/>
    <w:rsid w:val="3EFF3E54"/>
    <w:rsid w:val="3F073E1C"/>
    <w:rsid w:val="3F434D57"/>
    <w:rsid w:val="3F7B7548"/>
    <w:rsid w:val="3F9BDA00"/>
    <w:rsid w:val="3FCF59B3"/>
    <w:rsid w:val="3FF611BC"/>
    <w:rsid w:val="3FFDEA65"/>
    <w:rsid w:val="3FFF352A"/>
    <w:rsid w:val="3FFF955A"/>
    <w:rsid w:val="3FFF9F72"/>
    <w:rsid w:val="40187742"/>
    <w:rsid w:val="40540C25"/>
    <w:rsid w:val="411A6DC4"/>
    <w:rsid w:val="41F320F5"/>
    <w:rsid w:val="423D15C3"/>
    <w:rsid w:val="426A4BFC"/>
    <w:rsid w:val="429B5984"/>
    <w:rsid w:val="42AF1037"/>
    <w:rsid w:val="4517259F"/>
    <w:rsid w:val="456A3284"/>
    <w:rsid w:val="46EA783B"/>
    <w:rsid w:val="47D7833D"/>
    <w:rsid w:val="47E97DC2"/>
    <w:rsid w:val="48D02501"/>
    <w:rsid w:val="4B97A666"/>
    <w:rsid w:val="4C0C5FB5"/>
    <w:rsid w:val="4D170BDC"/>
    <w:rsid w:val="4E8E37E1"/>
    <w:rsid w:val="4F32741C"/>
    <w:rsid w:val="4F6DEEDB"/>
    <w:rsid w:val="4FF3BFF0"/>
    <w:rsid w:val="4FFB0EE8"/>
    <w:rsid w:val="50B213CE"/>
    <w:rsid w:val="51647644"/>
    <w:rsid w:val="52026335"/>
    <w:rsid w:val="52A73102"/>
    <w:rsid w:val="54A544E8"/>
    <w:rsid w:val="56512F02"/>
    <w:rsid w:val="565959E7"/>
    <w:rsid w:val="566D50E8"/>
    <w:rsid w:val="5690232B"/>
    <w:rsid w:val="56BBE9E9"/>
    <w:rsid w:val="56EFC242"/>
    <w:rsid w:val="57672F12"/>
    <w:rsid w:val="57DF904C"/>
    <w:rsid w:val="57FD90F1"/>
    <w:rsid w:val="595E6596"/>
    <w:rsid w:val="599B0EFC"/>
    <w:rsid w:val="59E305E3"/>
    <w:rsid w:val="5ADB2042"/>
    <w:rsid w:val="5AFFFAFA"/>
    <w:rsid w:val="5BBDB86A"/>
    <w:rsid w:val="5D2204C2"/>
    <w:rsid w:val="5D2D9DBF"/>
    <w:rsid w:val="5D3A6DCA"/>
    <w:rsid w:val="5DB9D2CF"/>
    <w:rsid w:val="5DDF15B3"/>
    <w:rsid w:val="5DFDDC4A"/>
    <w:rsid w:val="5E4E174D"/>
    <w:rsid w:val="5EA902B4"/>
    <w:rsid w:val="5EF603CA"/>
    <w:rsid w:val="5EFEA5C8"/>
    <w:rsid w:val="5F27742B"/>
    <w:rsid w:val="5F7B8201"/>
    <w:rsid w:val="5F950838"/>
    <w:rsid w:val="5F9F15B4"/>
    <w:rsid w:val="5FB6340E"/>
    <w:rsid w:val="5FBFACA2"/>
    <w:rsid w:val="606A5821"/>
    <w:rsid w:val="60867457"/>
    <w:rsid w:val="60B531C6"/>
    <w:rsid w:val="617C3A5E"/>
    <w:rsid w:val="61FF4230"/>
    <w:rsid w:val="620212C4"/>
    <w:rsid w:val="62593D9F"/>
    <w:rsid w:val="626C0F79"/>
    <w:rsid w:val="62D53817"/>
    <w:rsid w:val="62F34B7E"/>
    <w:rsid w:val="63841346"/>
    <w:rsid w:val="64FD4EB5"/>
    <w:rsid w:val="65F91397"/>
    <w:rsid w:val="668E1A07"/>
    <w:rsid w:val="66C376F9"/>
    <w:rsid w:val="66E20EE0"/>
    <w:rsid w:val="66EFBA1A"/>
    <w:rsid w:val="687FE37C"/>
    <w:rsid w:val="68BA7071"/>
    <w:rsid w:val="69713A6A"/>
    <w:rsid w:val="69852B2B"/>
    <w:rsid w:val="69BB2CC4"/>
    <w:rsid w:val="6AAD13A3"/>
    <w:rsid w:val="6B7255E6"/>
    <w:rsid w:val="6BB461A7"/>
    <w:rsid w:val="6DFAE7F9"/>
    <w:rsid w:val="6E167A45"/>
    <w:rsid w:val="6E583356"/>
    <w:rsid w:val="6EB6796F"/>
    <w:rsid w:val="6EDD7CF5"/>
    <w:rsid w:val="6F0ED86E"/>
    <w:rsid w:val="6F7F8928"/>
    <w:rsid w:val="6F9F8C9B"/>
    <w:rsid w:val="6FCB425B"/>
    <w:rsid w:val="71795B2F"/>
    <w:rsid w:val="71C800AE"/>
    <w:rsid w:val="71F907B3"/>
    <w:rsid w:val="72F3FB12"/>
    <w:rsid w:val="739F5D37"/>
    <w:rsid w:val="73BD84BA"/>
    <w:rsid w:val="74996DF5"/>
    <w:rsid w:val="749BA78D"/>
    <w:rsid w:val="74BAA822"/>
    <w:rsid w:val="74BB2697"/>
    <w:rsid w:val="7557387B"/>
    <w:rsid w:val="75AB79EA"/>
    <w:rsid w:val="768876BB"/>
    <w:rsid w:val="76BCC6A8"/>
    <w:rsid w:val="76DFFDA1"/>
    <w:rsid w:val="76F65121"/>
    <w:rsid w:val="777059BB"/>
    <w:rsid w:val="77936952"/>
    <w:rsid w:val="77AF52D3"/>
    <w:rsid w:val="77AF8A57"/>
    <w:rsid w:val="77C92176"/>
    <w:rsid w:val="77DF0A82"/>
    <w:rsid w:val="77DF0FA9"/>
    <w:rsid w:val="77E33E5E"/>
    <w:rsid w:val="77FE0FBA"/>
    <w:rsid w:val="782F7E72"/>
    <w:rsid w:val="78680440"/>
    <w:rsid w:val="79EC0BAA"/>
    <w:rsid w:val="7A30147C"/>
    <w:rsid w:val="7A366746"/>
    <w:rsid w:val="7A7E918B"/>
    <w:rsid w:val="7A971271"/>
    <w:rsid w:val="7ABC2F89"/>
    <w:rsid w:val="7AE80B08"/>
    <w:rsid w:val="7AFD832A"/>
    <w:rsid w:val="7B537071"/>
    <w:rsid w:val="7B7B231B"/>
    <w:rsid w:val="7BCFB541"/>
    <w:rsid w:val="7BDF2FE2"/>
    <w:rsid w:val="7BFF5486"/>
    <w:rsid w:val="7C0DD712"/>
    <w:rsid w:val="7CE38928"/>
    <w:rsid w:val="7CFF7182"/>
    <w:rsid w:val="7D6F719D"/>
    <w:rsid w:val="7DBF64DE"/>
    <w:rsid w:val="7DDFB0E6"/>
    <w:rsid w:val="7E6E20D0"/>
    <w:rsid w:val="7E7FF32F"/>
    <w:rsid w:val="7ED6B3EE"/>
    <w:rsid w:val="7EFB17CC"/>
    <w:rsid w:val="7F4DF408"/>
    <w:rsid w:val="7F5DB232"/>
    <w:rsid w:val="7F7DA4E8"/>
    <w:rsid w:val="7F8471F6"/>
    <w:rsid w:val="7FB5CBB5"/>
    <w:rsid w:val="7FDA89B9"/>
    <w:rsid w:val="7FDEA842"/>
    <w:rsid w:val="7FE799E2"/>
    <w:rsid w:val="7FEF71F1"/>
    <w:rsid w:val="7FEF8E34"/>
    <w:rsid w:val="7FF216F1"/>
    <w:rsid w:val="7FFBB144"/>
    <w:rsid w:val="7FFD981F"/>
    <w:rsid w:val="7FFECCD4"/>
    <w:rsid w:val="8EFD0004"/>
    <w:rsid w:val="8FCB255A"/>
    <w:rsid w:val="8FF621DA"/>
    <w:rsid w:val="9B9D7FFD"/>
    <w:rsid w:val="9DDF8492"/>
    <w:rsid w:val="9E240A06"/>
    <w:rsid w:val="9F7F3F3F"/>
    <w:rsid w:val="9FAFDC28"/>
    <w:rsid w:val="A1FD08AF"/>
    <w:rsid w:val="A7DF4304"/>
    <w:rsid w:val="ACEE5039"/>
    <w:rsid w:val="AD37CDE2"/>
    <w:rsid w:val="ADDFD2E0"/>
    <w:rsid w:val="AEF679BF"/>
    <w:rsid w:val="AF37A35E"/>
    <w:rsid w:val="B7BE38FD"/>
    <w:rsid w:val="B9D33962"/>
    <w:rsid w:val="BB7AA455"/>
    <w:rsid w:val="BBEF4BE6"/>
    <w:rsid w:val="BCFFD9A3"/>
    <w:rsid w:val="BD9785ED"/>
    <w:rsid w:val="BEA77DCF"/>
    <w:rsid w:val="BEBD036E"/>
    <w:rsid w:val="BF6F0C7C"/>
    <w:rsid w:val="BF70CC0D"/>
    <w:rsid w:val="BF7F39FE"/>
    <w:rsid w:val="BF9750CA"/>
    <w:rsid w:val="BFC5A06A"/>
    <w:rsid w:val="BFDE4280"/>
    <w:rsid w:val="BFFB0CF1"/>
    <w:rsid w:val="CDEE87DB"/>
    <w:rsid w:val="CFD79568"/>
    <w:rsid w:val="D5FE8A54"/>
    <w:rsid w:val="D7D7E928"/>
    <w:rsid w:val="DBFD1AC7"/>
    <w:rsid w:val="DDDB6B47"/>
    <w:rsid w:val="DDFFF13A"/>
    <w:rsid w:val="DE361B96"/>
    <w:rsid w:val="DE8690DD"/>
    <w:rsid w:val="DECF0025"/>
    <w:rsid w:val="DF7B0D7B"/>
    <w:rsid w:val="E3DE21B6"/>
    <w:rsid w:val="E3EE6BCF"/>
    <w:rsid w:val="E5976507"/>
    <w:rsid w:val="E77EF813"/>
    <w:rsid w:val="E7B765A6"/>
    <w:rsid w:val="E7EEC36F"/>
    <w:rsid w:val="E9DFE56D"/>
    <w:rsid w:val="EB19C83A"/>
    <w:rsid w:val="EBB47284"/>
    <w:rsid w:val="EBE39028"/>
    <w:rsid w:val="EBEF7036"/>
    <w:rsid w:val="EBEF7951"/>
    <w:rsid w:val="EBFDD302"/>
    <w:rsid w:val="EDFD36FE"/>
    <w:rsid w:val="EDFD87C4"/>
    <w:rsid w:val="EF4B8998"/>
    <w:rsid w:val="EF7F3E54"/>
    <w:rsid w:val="F37AD84F"/>
    <w:rsid w:val="F3AF477B"/>
    <w:rsid w:val="F3E1A4B7"/>
    <w:rsid w:val="F3F6760B"/>
    <w:rsid w:val="F3F788F7"/>
    <w:rsid w:val="F3FFC98C"/>
    <w:rsid w:val="F5CFADE3"/>
    <w:rsid w:val="F72F1FD8"/>
    <w:rsid w:val="F7FBFD68"/>
    <w:rsid w:val="F7FFBC44"/>
    <w:rsid w:val="F8B3134B"/>
    <w:rsid w:val="F8EBE9D4"/>
    <w:rsid w:val="F998823D"/>
    <w:rsid w:val="F9F5FE8F"/>
    <w:rsid w:val="FAE7196A"/>
    <w:rsid w:val="FAF5B973"/>
    <w:rsid w:val="FAFE4AB2"/>
    <w:rsid w:val="FB6A2D1E"/>
    <w:rsid w:val="FB73D899"/>
    <w:rsid w:val="FB7FDBF2"/>
    <w:rsid w:val="FBBE9231"/>
    <w:rsid w:val="FBE15A23"/>
    <w:rsid w:val="FBFE793A"/>
    <w:rsid w:val="FCDD625A"/>
    <w:rsid w:val="FCF8D08F"/>
    <w:rsid w:val="FE67BE2A"/>
    <w:rsid w:val="FE93F567"/>
    <w:rsid w:val="FF2F3818"/>
    <w:rsid w:val="FF2F7467"/>
    <w:rsid w:val="FF577068"/>
    <w:rsid w:val="FFB56253"/>
    <w:rsid w:val="FFB71564"/>
    <w:rsid w:val="FFBF7EAE"/>
    <w:rsid w:val="FFCDCAB7"/>
    <w:rsid w:val="FFDFD638"/>
    <w:rsid w:val="FFEDDB37"/>
    <w:rsid w:val="FFF73387"/>
    <w:rsid w:val="FFF90F22"/>
    <w:rsid w:val="FFFAB2E4"/>
    <w:rsid w:val="FFFD678B"/>
    <w:rsid w:val="FFFE7183"/>
    <w:rsid w:val="FFFEA258"/>
    <w:rsid w:val="FFFEF6BA"/>
    <w:rsid w:val="FFFF411B"/>
    <w:rsid w:val="FF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tLeast"/>
      <w:ind w:firstLine="200"/>
      <w:outlineLvl w:val="2"/>
    </w:pPr>
    <w:rPr>
      <w:rFonts w:ascii="仿宋_GB2312" w:hAnsi="等线"/>
      <w:bCs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 2"/>
    <w:basedOn w:val="1"/>
    <w:next w:val="9"/>
    <w:qFormat/>
    <w:uiPriority w:val="0"/>
    <w:pPr>
      <w:ind w:right="-38" w:firstLine="615"/>
    </w:pPr>
    <w:rPr>
      <w:rFonts w:ascii="Times New Roman" w:hAnsi="Times New Roman" w:cs="Times New Roman"/>
      <w:spacing w:val="-2"/>
      <w:szCs w:val="20"/>
    </w:rPr>
  </w:style>
  <w:style w:type="paragraph" w:styleId="9">
    <w:name w:val="Body Text First Indent 2"/>
    <w:basedOn w:val="1"/>
    <w:next w:val="1"/>
    <w:qFormat/>
    <w:uiPriority w:val="0"/>
    <w:pPr>
      <w:widowControl w:val="0"/>
      <w:suppressAutoHyphens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15"/>
    <w:basedOn w:val="15"/>
    <w:qFormat/>
    <w:uiPriority w:val="0"/>
    <w:rPr>
      <w:rFonts w:hint="default" w:ascii="Times New Roman" w:hAnsi="Times New Roman" w:cs="Times New Roman"/>
      <w:b/>
    </w:rPr>
  </w:style>
  <w:style w:type="paragraph" w:customStyle="1" w:styleId="20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1797</Words>
  <Characters>1867</Characters>
  <Lines>0</Lines>
  <Paragraphs>0</Paragraphs>
  <TotalTime>2</TotalTime>
  <ScaleCrop>false</ScaleCrop>
  <LinksUpToDate>false</LinksUpToDate>
  <CharactersWithSpaces>1867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2026-01-15T01:28:00Z</dcterms:created>
  <dc:creator>wangzw</dc:creator>
  <cp:lastModifiedBy>WPS_1505373044</cp:lastModifiedBy>
  <cp:lastPrinted>2026-05-26T08:01:00Z</cp:lastPrinted>
  <dcterms:modified xsi:type="dcterms:W3CDTF">2026-05-27T09:27:07Z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eyJoZGlkIjoiNWYyNWQxYTc5OWNhMWE2NDNjZmY5N2YwY2UzZGU1MzciLCJ1c2VySWQiOiIzMDI4MDA3ODcifQ==</vt:lpwstr>
  </property>
  <property fmtid="{D5CDD505-2E9C-101B-9397-08002B2CF9AE}" pid="4" name="ICV">
    <vt:lpwstr>F8CBA62982D844FAA5D47236C0454C6C_12</vt:lpwstr>
  </property>
</Properties>
</file>