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0C5FB">
      <w:pPr>
        <w:spacing w:line="620" w:lineRule="exact"/>
        <w:ind w:right="320" w:firstLine="0"/>
        <w:jc w:val="left"/>
        <w:rPr>
          <w:rFonts w:eastAsia="仿宋_GB2312"/>
          <w:sz w:val="32"/>
          <w:szCs w:val="32"/>
        </w:rPr>
      </w:pPr>
      <w:r>
        <w:rPr>
          <w:rFonts w:eastAsia="黑体"/>
          <w:sz w:val="32"/>
          <w:szCs w:val="32"/>
        </w:rPr>
        <w:t>附件1</w:t>
      </w:r>
    </w:p>
    <w:p w14:paraId="4E5600EA">
      <w:pPr>
        <w:pStyle w:val="7"/>
        <w:spacing w:line="600" w:lineRule="exact"/>
        <w:ind w:left="215" w:firstLine="320"/>
      </w:pPr>
    </w:p>
    <w:p w14:paraId="4B3B8A48">
      <w:pPr>
        <w:snapToGrid w:val="0"/>
        <w:spacing w:line="700" w:lineRule="exact"/>
        <w:jc w:val="center"/>
        <w:rPr>
          <w:rFonts w:hint="eastAsia" w:ascii="方正小标宋简体" w:eastAsia="方正小标宋简体"/>
          <w:sz w:val="44"/>
          <w:szCs w:val="40"/>
        </w:rPr>
      </w:pPr>
      <w:r>
        <w:rPr>
          <w:rFonts w:hint="eastAsia" w:ascii="方正小标宋简体" w:eastAsia="方正小标宋简体"/>
          <w:sz w:val="44"/>
          <w:szCs w:val="44"/>
        </w:rPr>
        <w:t>关于一体推进省“尖兵”“领雁”项目科技攻关及成果转化的若干措施（试行）</w:t>
      </w:r>
    </w:p>
    <w:p w14:paraId="339D16FE">
      <w:pPr>
        <w:snapToGrid w:val="0"/>
        <w:spacing w:line="600" w:lineRule="exact"/>
        <w:jc w:val="center"/>
        <w:rPr>
          <w:rFonts w:eastAsia="楷体_GB2312"/>
          <w:sz w:val="32"/>
          <w:szCs w:val="32"/>
        </w:rPr>
      </w:pPr>
      <w:r>
        <w:rPr>
          <w:rFonts w:eastAsia="楷体_GB2312"/>
          <w:sz w:val="32"/>
          <w:szCs w:val="32"/>
        </w:rPr>
        <w:t>（征求意见稿）</w:t>
      </w:r>
    </w:p>
    <w:p w14:paraId="1F9F3725">
      <w:pPr>
        <w:spacing w:line="600" w:lineRule="exact"/>
      </w:pPr>
    </w:p>
    <w:p w14:paraId="7F85E234">
      <w:pPr>
        <w:spacing w:line="600" w:lineRule="exact"/>
        <w:ind w:firstLine="640" w:firstLineChars="200"/>
        <w:rPr>
          <w:rFonts w:eastAsia="仿宋_GB2312"/>
          <w:sz w:val="32"/>
          <w:szCs w:val="32"/>
        </w:rPr>
      </w:pPr>
      <w:r>
        <w:rPr>
          <w:rFonts w:eastAsia="仿宋_GB2312"/>
          <w:sz w:val="32"/>
          <w:szCs w:val="32"/>
        </w:rPr>
        <w:t>为打破“先有成果后转化”惯性思维，一体化推进科技攻关及成果转化</w:t>
      </w:r>
      <w:r>
        <w:rPr>
          <w:rFonts w:eastAsia="仿宋_GB2312"/>
          <w:sz w:val="32"/>
          <w:szCs w:val="32"/>
          <w:lang w:eastAsia="zh"/>
        </w:rPr>
        <w:t>，</w:t>
      </w:r>
      <w:r>
        <w:rPr>
          <w:rFonts w:eastAsia="仿宋_GB2312"/>
          <w:sz w:val="32"/>
          <w:szCs w:val="32"/>
        </w:rPr>
        <w:t>提高“四题一评”协同攻关效能，推动“尖兵”“领雁”项目“研得准、转得出、接得住、用得好”，</w:t>
      </w:r>
      <w:r>
        <w:rPr>
          <w:rFonts w:hint="eastAsia" w:eastAsia="仿宋_GB2312"/>
          <w:sz w:val="32"/>
          <w:szCs w:val="32"/>
        </w:rPr>
        <w:t>推动</w:t>
      </w:r>
      <w:r>
        <w:rPr>
          <w:rFonts w:eastAsia="仿宋_GB2312"/>
          <w:sz w:val="32"/>
          <w:szCs w:val="32"/>
        </w:rPr>
        <w:t>每个项目形成可描述、可归类、可溯源的成果，制定如下措施。</w:t>
      </w:r>
    </w:p>
    <w:p w14:paraId="6A65C713">
      <w:pPr>
        <w:pStyle w:val="4"/>
        <w:spacing w:before="0" w:after="0" w:line="600" w:lineRule="exact"/>
        <w:ind w:firstLine="640" w:firstLineChars="200"/>
        <w:rPr>
          <w:rFonts w:ascii="Times New Roman" w:hAnsi="Times New Roman"/>
          <w:b w:val="0"/>
          <w:bCs/>
          <w:szCs w:val="32"/>
        </w:rPr>
      </w:pPr>
      <w:r>
        <w:rPr>
          <w:rFonts w:ascii="Times New Roman" w:hAnsi="Times New Roman"/>
          <w:b w:val="0"/>
          <w:bCs/>
          <w:szCs w:val="32"/>
        </w:rPr>
        <w:t>一、完善成果导向的需求凝练机制</w:t>
      </w:r>
    </w:p>
    <w:p w14:paraId="39148DA9">
      <w:pPr>
        <w:spacing w:line="600" w:lineRule="exact"/>
        <w:ind w:firstLine="640" w:firstLineChars="200"/>
        <w:rPr>
          <w:rFonts w:eastAsia="仿宋_GB2312"/>
          <w:sz w:val="32"/>
          <w:szCs w:val="32"/>
        </w:rPr>
      </w:pPr>
      <w:r>
        <w:rPr>
          <w:rFonts w:eastAsia="仿宋_GB2312"/>
          <w:sz w:val="32"/>
          <w:szCs w:val="32"/>
        </w:rPr>
        <w:t>1.强化企业真实需求挖掘。从企业车间和产业实践中挖掘凝练真实攻关需求，攻关需求应系统说明拟攻克或应用的关键单元技术、关键零部件、重大整机产品（含重大创新药、关键核心软件等）与服务的重大工程。无服务重大工程的，应说明实际应用场景</w:t>
      </w:r>
      <w:r>
        <w:rPr>
          <w:rFonts w:hint="eastAsia" w:eastAsia="仿宋_GB2312"/>
          <w:sz w:val="32"/>
          <w:szCs w:val="32"/>
        </w:rPr>
        <w:t>和用户单位</w:t>
      </w:r>
      <w:r>
        <w:rPr>
          <w:rFonts w:eastAsia="仿宋_GB2312"/>
          <w:sz w:val="32"/>
          <w:szCs w:val="32"/>
        </w:rPr>
        <w:t>。</w:t>
      </w:r>
    </w:p>
    <w:p w14:paraId="6CF9E1F2">
      <w:pPr>
        <w:spacing w:line="600" w:lineRule="exact"/>
        <w:ind w:firstLine="640" w:firstLineChars="200"/>
        <w:rPr>
          <w:rFonts w:eastAsia="仿宋_GB2312"/>
          <w:sz w:val="32"/>
          <w:szCs w:val="32"/>
        </w:rPr>
      </w:pPr>
      <w:r>
        <w:rPr>
          <w:rFonts w:eastAsia="仿宋_GB2312"/>
          <w:sz w:val="32"/>
          <w:szCs w:val="32"/>
        </w:rPr>
        <w:t>2.提升榜单成果描述的可读性。榜单（指南）编制专家组在提供标准格式榜单的基础上，还应将榜单的预期重大成果转化为大众的、</w:t>
      </w:r>
      <w:r>
        <w:rPr>
          <w:rFonts w:hint="eastAsia" w:eastAsia="仿宋_GB2312"/>
          <w:sz w:val="32"/>
          <w:szCs w:val="32"/>
        </w:rPr>
        <w:t>通俗</w:t>
      </w:r>
      <w:r>
        <w:rPr>
          <w:rFonts w:eastAsia="仿宋_GB2312"/>
          <w:sz w:val="32"/>
          <w:szCs w:val="32"/>
        </w:rPr>
        <w:t>易懂的内容描述，明确成果的通俗名称、关键内容、代表性指标、典型应用场景及对标产品等。对非涉密榜单，在省科技管理‌平台公开征求意见不少于</w:t>
      </w:r>
      <w:r>
        <w:rPr>
          <w:rFonts w:hint="eastAsia" w:eastAsia="仿宋_GB2312"/>
          <w:sz w:val="32"/>
          <w:szCs w:val="32"/>
        </w:rPr>
        <w:t>5</w:t>
      </w:r>
      <w:r>
        <w:rPr>
          <w:rFonts w:eastAsia="仿宋_GB2312"/>
          <w:sz w:val="32"/>
          <w:szCs w:val="32"/>
        </w:rPr>
        <w:t>个工作日。</w:t>
      </w:r>
    </w:p>
    <w:p w14:paraId="57ACF646">
      <w:pPr>
        <w:spacing w:line="600" w:lineRule="exact"/>
        <w:ind w:firstLine="640" w:firstLineChars="200"/>
        <w:rPr>
          <w:rFonts w:eastAsia="仿宋_GB2312"/>
          <w:sz w:val="32"/>
          <w:szCs w:val="32"/>
        </w:rPr>
      </w:pPr>
      <w:r>
        <w:rPr>
          <w:rFonts w:eastAsia="仿宋_GB2312"/>
          <w:sz w:val="32"/>
          <w:szCs w:val="32"/>
        </w:rPr>
        <w:t>3.突出项目申报成果分类。项目申报应明确预期取得的成果类型为“关键单元技术、关键零部件、重大整机产品（含重大创新药、关键核心软件等）、重大工程</w:t>
      </w:r>
      <w:r>
        <w:rPr>
          <w:rFonts w:hint="eastAsia" w:eastAsia="仿宋_GB2312"/>
          <w:sz w:val="32"/>
          <w:szCs w:val="32"/>
        </w:rPr>
        <w:t>或应用场景</w:t>
      </w:r>
      <w:r>
        <w:rPr>
          <w:rFonts w:eastAsia="仿宋_GB2312"/>
          <w:sz w:val="32"/>
          <w:szCs w:val="32"/>
        </w:rPr>
        <w:t>”的一</w:t>
      </w:r>
      <w:r>
        <w:rPr>
          <w:rFonts w:hint="eastAsia" w:eastAsia="仿宋_GB2312"/>
          <w:sz w:val="32"/>
          <w:szCs w:val="32"/>
        </w:rPr>
        <w:t>项</w:t>
      </w:r>
      <w:r>
        <w:rPr>
          <w:rFonts w:eastAsia="仿宋_GB2312"/>
          <w:sz w:val="32"/>
          <w:szCs w:val="32"/>
        </w:rPr>
        <w:t>，并同时说明其他3项内容，与成果形成整体</w:t>
      </w:r>
      <w:r>
        <w:rPr>
          <w:rFonts w:hint="eastAsia" w:eastAsia="仿宋_GB2312"/>
          <w:sz w:val="32"/>
          <w:szCs w:val="32"/>
        </w:rPr>
        <w:t>表述</w:t>
      </w:r>
      <w:r>
        <w:rPr>
          <w:rFonts w:eastAsia="仿宋_GB2312"/>
          <w:sz w:val="32"/>
          <w:szCs w:val="32"/>
        </w:rPr>
        <w:t>。未明确类型的，</w:t>
      </w:r>
      <w:r>
        <w:rPr>
          <w:rFonts w:hint="eastAsia" w:eastAsia="仿宋_GB2312"/>
          <w:sz w:val="32"/>
          <w:szCs w:val="32"/>
        </w:rPr>
        <w:t>一般不予</w:t>
      </w:r>
      <w:r>
        <w:rPr>
          <w:rFonts w:eastAsia="仿宋_GB2312"/>
          <w:sz w:val="32"/>
          <w:szCs w:val="32"/>
        </w:rPr>
        <w:t>进入评审环节。</w:t>
      </w:r>
    </w:p>
    <w:p w14:paraId="458C7E2D">
      <w:pPr>
        <w:pStyle w:val="4"/>
        <w:spacing w:before="0" w:after="0" w:line="600" w:lineRule="exact"/>
        <w:ind w:firstLine="640" w:firstLineChars="200"/>
        <w:rPr>
          <w:rFonts w:ascii="Times New Roman" w:hAnsi="Times New Roman"/>
          <w:b w:val="0"/>
          <w:bCs/>
          <w:szCs w:val="32"/>
        </w:rPr>
      </w:pPr>
      <w:r>
        <w:rPr>
          <w:rFonts w:ascii="Times New Roman" w:hAnsi="Times New Roman"/>
          <w:b w:val="0"/>
          <w:bCs/>
          <w:szCs w:val="32"/>
        </w:rPr>
        <w:t>二、建立成果过程管控机制</w:t>
      </w:r>
    </w:p>
    <w:p w14:paraId="2C00591A">
      <w:pPr>
        <w:widowControl/>
        <w:spacing w:line="600" w:lineRule="exact"/>
        <w:ind w:firstLine="640" w:firstLineChars="200"/>
        <w:rPr>
          <w:rFonts w:eastAsia="仿宋_GB2312"/>
          <w:sz w:val="32"/>
          <w:szCs w:val="32"/>
        </w:rPr>
      </w:pPr>
      <w:r>
        <w:rPr>
          <w:rFonts w:eastAsia="仿宋_GB2312"/>
          <w:sz w:val="32"/>
          <w:szCs w:val="32"/>
        </w:rPr>
        <w:t>4.推行“专家+用户”联合评审。对科技成果产业化、工程化、产业化为目标任务的项目，邀请用户单位参与</w:t>
      </w:r>
      <w:r>
        <w:rPr>
          <w:rFonts w:hint="eastAsia" w:eastAsia="仿宋_GB2312"/>
          <w:sz w:val="32"/>
          <w:szCs w:val="32"/>
        </w:rPr>
        <w:t>项目立项</w:t>
      </w:r>
      <w:r>
        <w:rPr>
          <w:rFonts w:eastAsia="仿宋_GB2312"/>
          <w:sz w:val="32"/>
          <w:szCs w:val="32"/>
        </w:rPr>
        <w:t>评审。将预期标志性成果产出情况、向用户单位转化应用的可行性作为项目立项评审的关键因素，权重不低于50%。</w:t>
      </w:r>
    </w:p>
    <w:p w14:paraId="4D5B38D7">
      <w:pPr>
        <w:widowControl/>
        <w:spacing w:line="600" w:lineRule="exact"/>
        <w:ind w:firstLine="640" w:firstLineChars="200"/>
        <w:rPr>
          <w:rFonts w:eastAsia="仿宋_GB2312"/>
          <w:sz w:val="32"/>
          <w:szCs w:val="32"/>
        </w:rPr>
      </w:pPr>
      <w:r>
        <w:rPr>
          <w:rFonts w:eastAsia="仿宋_GB2312"/>
          <w:sz w:val="32"/>
          <w:szCs w:val="32"/>
          <w:lang w:eastAsia="zh"/>
        </w:rPr>
        <w:t>5.</w:t>
      </w:r>
      <w:r>
        <w:rPr>
          <w:rFonts w:eastAsia="仿宋_GB2312"/>
          <w:sz w:val="32"/>
          <w:szCs w:val="32"/>
        </w:rPr>
        <w:t>强化任务书刚性约束。项目任务书应明确成果归类，约束性指标不得低于榜单（指南）要求和申报书承诺，原则上不予变更。项目实施过程中，若成果类别发生重大变化，应及时申请变更并重新分类。</w:t>
      </w:r>
    </w:p>
    <w:p w14:paraId="2FB833C8">
      <w:pPr>
        <w:spacing w:line="600" w:lineRule="exact"/>
        <w:ind w:firstLine="640" w:firstLineChars="200"/>
        <w:rPr>
          <w:rFonts w:eastAsia="仿宋_GB2312"/>
          <w:sz w:val="32"/>
          <w:szCs w:val="32"/>
        </w:rPr>
      </w:pPr>
      <w:r>
        <w:rPr>
          <w:rFonts w:eastAsia="仿宋_GB2312"/>
          <w:sz w:val="32"/>
          <w:szCs w:val="32"/>
          <w:lang w:eastAsia="zh"/>
        </w:rPr>
        <w:t>6</w:t>
      </w:r>
      <w:r>
        <w:rPr>
          <w:rFonts w:eastAsia="仿宋_GB2312"/>
          <w:sz w:val="32"/>
          <w:szCs w:val="32"/>
        </w:rPr>
        <w:t>.实行中期检查成果报告制度。项目承担单位在中期检查后通过省科管平台报送阶段性成果简要进展，说明成果解决的实际问题、场景试用或验证进展。强化中期现场实物查验，专家组须现场查看成果的样机、样品、软件演示或工程应用情况等。</w:t>
      </w:r>
    </w:p>
    <w:p w14:paraId="69DBA72F">
      <w:pPr>
        <w:spacing w:line="600" w:lineRule="exact"/>
        <w:ind w:firstLine="640"/>
        <w:rPr>
          <w:rFonts w:eastAsia="黑体"/>
          <w:sz w:val="32"/>
          <w:szCs w:val="32"/>
        </w:rPr>
      </w:pPr>
      <w:r>
        <w:rPr>
          <w:rFonts w:eastAsia="黑体"/>
          <w:sz w:val="32"/>
          <w:szCs w:val="32"/>
        </w:rPr>
        <w:t>三、改革验收评价机制</w:t>
      </w:r>
    </w:p>
    <w:p w14:paraId="6FC2A467">
      <w:pPr>
        <w:spacing w:line="600" w:lineRule="exact"/>
        <w:ind w:firstLine="640" w:firstLineChars="200"/>
        <w:rPr>
          <w:rFonts w:eastAsia="仿宋_GB2312"/>
          <w:sz w:val="32"/>
          <w:szCs w:val="32"/>
        </w:rPr>
      </w:pPr>
      <w:r>
        <w:rPr>
          <w:rFonts w:eastAsia="仿宋_GB2312"/>
          <w:sz w:val="32"/>
          <w:szCs w:val="32"/>
        </w:rPr>
        <w:t>7.推行用户单位“车间验题”。项目任务书中约定的用户单位（非项目承担单位或参与单位）须在概念验证中心、中试平台或车间产线等现场验证成果，并出具书面评价意见，明确成果是否达到实际应用要求。用户不认可或评价不明确的，验收不予通过。</w:t>
      </w:r>
    </w:p>
    <w:p w14:paraId="4DC7476E">
      <w:pPr>
        <w:spacing w:line="600" w:lineRule="exact"/>
        <w:ind w:firstLine="640" w:firstLineChars="200"/>
        <w:rPr>
          <w:rFonts w:eastAsia="仿宋_GB2312"/>
          <w:sz w:val="32"/>
          <w:szCs w:val="32"/>
        </w:rPr>
      </w:pPr>
      <w:r>
        <w:rPr>
          <w:rFonts w:eastAsia="仿宋_GB2312"/>
          <w:sz w:val="32"/>
          <w:szCs w:val="32"/>
        </w:rPr>
        <w:t>8.实施成果溯源核查。验收时，项目承担单位须提供“成果溯源图”，标明该成果与关键单元技术、关键零部件、重大整机产品或重大工程</w:t>
      </w:r>
      <w:r>
        <w:rPr>
          <w:rFonts w:hint="eastAsia" w:ascii="仿宋_GB2312" w:hAnsi="仿宋_GB2312" w:eastAsia="仿宋_GB2312" w:cs="仿宋_GB2312"/>
          <w:sz w:val="32"/>
          <w:szCs w:val="32"/>
        </w:rPr>
        <w:t>等目标对象</w:t>
      </w:r>
      <w:r>
        <w:rPr>
          <w:rFonts w:eastAsia="仿宋_GB2312"/>
          <w:sz w:val="32"/>
          <w:szCs w:val="32"/>
        </w:rPr>
        <w:t>的对应关系。无法溯源的，视为未完成任务书约定的转化目标。</w:t>
      </w:r>
    </w:p>
    <w:p w14:paraId="23AD4220">
      <w:pPr>
        <w:spacing w:line="600" w:lineRule="exact"/>
        <w:ind w:firstLine="640" w:firstLineChars="200"/>
      </w:pPr>
      <w:r>
        <w:rPr>
          <w:rFonts w:eastAsia="仿宋_GB2312"/>
          <w:sz w:val="32"/>
          <w:szCs w:val="32"/>
        </w:rPr>
        <w:t>9.推行成果公示制度。验收结果公示时，须附面向公众的成果简介，说明成果名称、关键内容、核心指标、应用场景、主要效益等情况与验收结论，并在省科技管理平台公示</w:t>
      </w:r>
      <w:r>
        <w:rPr>
          <w:rFonts w:hint="eastAsia" w:eastAsia="仿宋_GB2312"/>
          <w:sz w:val="32"/>
          <w:szCs w:val="32"/>
        </w:rPr>
        <w:t>5个工作日</w:t>
      </w:r>
      <w:r>
        <w:rPr>
          <w:rFonts w:eastAsia="仿宋_GB2312"/>
          <w:sz w:val="32"/>
          <w:szCs w:val="32"/>
        </w:rPr>
        <w:t>。未提供的，不予验收公示。</w:t>
      </w:r>
    </w:p>
    <w:p w14:paraId="709B29CF">
      <w:pPr>
        <w:pStyle w:val="4"/>
        <w:spacing w:before="0" w:after="0" w:line="600" w:lineRule="exact"/>
        <w:ind w:firstLine="640" w:firstLineChars="200"/>
        <w:rPr>
          <w:rFonts w:ascii="Times New Roman" w:hAnsi="Times New Roman"/>
          <w:b w:val="0"/>
          <w:bCs/>
          <w:szCs w:val="32"/>
        </w:rPr>
      </w:pPr>
      <w:r>
        <w:rPr>
          <w:rFonts w:ascii="Times New Roman" w:hAnsi="Times New Roman"/>
          <w:b w:val="0"/>
          <w:bCs/>
          <w:szCs w:val="32"/>
        </w:rPr>
        <w:t>四、健全成果转化跟踪服务机制</w:t>
      </w:r>
    </w:p>
    <w:p w14:paraId="295D1D8C">
      <w:pPr>
        <w:spacing w:line="600" w:lineRule="exact"/>
        <w:ind w:firstLine="640" w:firstLineChars="200"/>
        <w:rPr>
          <w:rFonts w:eastAsia="仿宋_GB2312"/>
          <w:sz w:val="32"/>
          <w:szCs w:val="32"/>
        </w:rPr>
      </w:pPr>
      <w:r>
        <w:rPr>
          <w:rFonts w:eastAsia="仿宋_GB2312"/>
          <w:sz w:val="32"/>
          <w:szCs w:val="32"/>
        </w:rPr>
        <w:t>10.建立“新质生产力</w:t>
      </w:r>
      <w:r>
        <w:rPr>
          <w:rFonts w:eastAsia="仿宋_GB2312"/>
          <w:kern w:val="0"/>
          <w:sz w:val="32"/>
          <w:szCs w:val="32"/>
          <w:lang w:bidi="ar"/>
        </w:rPr>
        <w:t>重大成果清单</w:t>
      </w:r>
      <w:r>
        <w:rPr>
          <w:rFonts w:eastAsia="仿宋_GB2312"/>
          <w:sz w:val="32"/>
          <w:szCs w:val="32"/>
        </w:rPr>
        <w:t>”。验收后的项目成果自动纳入</w:t>
      </w:r>
      <w:r>
        <w:rPr>
          <w:rFonts w:eastAsia="仿宋_GB2312"/>
          <w:kern w:val="0"/>
          <w:sz w:val="32"/>
          <w:szCs w:val="32"/>
          <w:lang w:bidi="ar"/>
        </w:rPr>
        <w:t>重大成果清单</w:t>
      </w:r>
      <w:r>
        <w:rPr>
          <w:rFonts w:eastAsia="仿宋_GB2312"/>
          <w:sz w:val="32"/>
          <w:szCs w:val="32"/>
        </w:rPr>
        <w:t>，通过媒体平台、技术转移服务机构、科技服务人员团队、网上技术市场等渠道宣传推广，推动重大成果与企业真实需求高效对接。</w:t>
      </w:r>
    </w:p>
    <w:p w14:paraId="5CB2C415">
      <w:pPr>
        <w:spacing w:line="600" w:lineRule="exact"/>
        <w:ind w:firstLine="640" w:firstLineChars="200"/>
        <w:rPr>
          <w:rFonts w:eastAsia="仿宋_GB2312"/>
          <w:sz w:val="32"/>
          <w:szCs w:val="32"/>
        </w:rPr>
      </w:pPr>
      <w:r>
        <w:rPr>
          <w:rFonts w:eastAsia="仿宋_GB2312"/>
          <w:sz w:val="32"/>
          <w:szCs w:val="32"/>
        </w:rPr>
        <w:t>11.开展成果应用跟踪评估。</w:t>
      </w:r>
      <w:r>
        <w:rPr>
          <w:rFonts w:hint="eastAsia" w:ascii="仿宋_GB2312" w:hAnsi="仿宋_GB2312" w:eastAsia="仿宋_GB2312" w:cs="仿宋_GB2312"/>
          <w:sz w:val="32"/>
          <w:szCs w:val="32"/>
        </w:rPr>
        <w:t>针对以产业化为主要目标的验收项目，跟踪评估其</w:t>
      </w:r>
      <w:r>
        <w:rPr>
          <w:rFonts w:eastAsia="仿宋_GB2312"/>
          <w:sz w:val="32"/>
          <w:szCs w:val="32"/>
        </w:rPr>
        <w:t>市场评价情况（包括批量应用、替代进口等），评估周期不少于1年。评估结果作为定向征集需求、滚动支持和推荐科技奖励的重要依据。</w:t>
      </w:r>
    </w:p>
    <w:p w14:paraId="5E60FDD0">
      <w:pPr>
        <w:spacing w:line="600" w:lineRule="exact"/>
        <w:ind w:firstLine="640" w:firstLineChars="200"/>
        <w:rPr>
          <w:rFonts w:eastAsia="仿宋_GB2312"/>
          <w:sz w:val="32"/>
          <w:szCs w:val="32"/>
        </w:rPr>
      </w:pPr>
      <w:r>
        <w:rPr>
          <w:rFonts w:eastAsia="仿宋_GB2312"/>
          <w:sz w:val="32"/>
          <w:szCs w:val="32"/>
        </w:rPr>
        <w:t>12.落实勤勉尽职免责机制。对于已勤勉尽责，但因国家政策重大调整、市场需求变化、不可抗力等因素，未能实现任务书约定目标，且在实施期内及时提出终止申请的，经评议认可，对项目承担单位和负责人不予追究科研失败责任。</w:t>
      </w:r>
    </w:p>
    <w:p w14:paraId="18C7F988">
      <w:pPr>
        <w:spacing w:line="600" w:lineRule="exact"/>
        <w:ind w:firstLine="640" w:firstLineChars="200"/>
        <w:rPr>
          <w:rFonts w:eastAsia="仿宋_GB2312"/>
          <w:sz w:val="32"/>
          <w:szCs w:val="32"/>
        </w:rPr>
      </w:pPr>
      <w:r>
        <w:rPr>
          <w:rFonts w:eastAsia="仿宋_GB2312"/>
          <w:sz w:val="32"/>
          <w:szCs w:val="32"/>
        </w:rPr>
        <w:t>本措施自2026年 月 日起施行。现行文件中与本措施不一致的，以本措施为准。</w:t>
      </w:r>
    </w:p>
    <w:p w14:paraId="0BBB0815">
      <w:pPr>
        <w:pStyle w:val="7"/>
        <w:spacing w:line="600" w:lineRule="exact"/>
        <w:ind w:left="0" w:firstLine="640" w:firstLineChars="200"/>
        <w:rPr>
          <w:rFonts w:eastAsia="仿宋_GB2312"/>
        </w:rPr>
      </w:pPr>
    </w:p>
    <w:p w14:paraId="165E936C">
      <w:pPr>
        <w:spacing w:line="600" w:lineRule="exact"/>
        <w:rPr>
          <w:rFonts w:eastAsia="黑体"/>
          <w:sz w:val="32"/>
          <w:szCs w:val="32"/>
        </w:rPr>
      </w:pPr>
      <w:r>
        <w:rPr>
          <w:rFonts w:eastAsia="仿宋_GB2312"/>
        </w:rPr>
        <w:br w:type="page"/>
      </w:r>
      <w:bookmarkStart w:id="0" w:name="_GoBack"/>
      <w:r>
        <w:rPr>
          <w:rFonts w:eastAsia="黑体"/>
          <w:sz w:val="32"/>
          <w:szCs w:val="32"/>
        </w:rPr>
        <w:t>附件2</w:t>
      </w:r>
    </w:p>
    <w:p w14:paraId="69BBA260">
      <w:pPr>
        <w:spacing w:line="600" w:lineRule="exact"/>
        <w:rPr>
          <w:rFonts w:eastAsia="黑体"/>
          <w:sz w:val="32"/>
          <w:szCs w:val="32"/>
        </w:rPr>
      </w:pPr>
    </w:p>
    <w:p w14:paraId="17362543">
      <w:pPr>
        <w:pStyle w:val="7"/>
        <w:spacing w:line="700" w:lineRule="exact"/>
        <w:ind w:left="215" w:firstLine="0" w:firstLineChars="0"/>
        <w:jc w:val="center"/>
        <w:rPr>
          <w:rFonts w:eastAsia="方正小标宋简体"/>
          <w:sz w:val="44"/>
          <w:szCs w:val="44"/>
        </w:rPr>
      </w:pPr>
      <w:r>
        <w:rPr>
          <w:rFonts w:eastAsia="方正小标宋简体"/>
          <w:sz w:val="44"/>
          <w:szCs w:val="44"/>
        </w:rPr>
        <w:t>有关单位名单</w:t>
      </w:r>
    </w:p>
    <w:p w14:paraId="207AC535">
      <w:pPr>
        <w:spacing w:line="600" w:lineRule="exact"/>
        <w:ind w:firstLine="640" w:firstLineChars="200"/>
        <w:rPr>
          <w:rFonts w:eastAsia="仿宋_GB2312"/>
          <w:sz w:val="32"/>
          <w:szCs w:val="32"/>
        </w:rPr>
      </w:pPr>
    </w:p>
    <w:p w14:paraId="05925A44">
      <w:pPr>
        <w:pStyle w:val="7"/>
        <w:spacing w:line="600" w:lineRule="exact"/>
        <w:ind w:left="0" w:firstLine="640" w:firstLineChars="0"/>
        <w:rPr>
          <w:rFonts w:eastAsia="仿宋_GB2312"/>
        </w:rPr>
      </w:pPr>
      <w:r>
        <w:rPr>
          <w:rFonts w:eastAsia="仿宋_GB2312"/>
          <w:kern w:val="0"/>
          <w:shd w:val="clear" w:color="auto" w:fill="FFFFFF"/>
          <w:lang w:eastAsia="zh" w:bidi="ar"/>
        </w:rPr>
        <w:t>省委宣传部、省委军民融合办、省发展改革委、省经信厅、省财政厅、省农业农村厅、省交通运输厅、省海洋经济厅、省卫生健康委、省国资委</w:t>
      </w:r>
      <w:r>
        <w:rPr>
          <w:rFonts w:eastAsia="仿宋_GB2312"/>
        </w:rPr>
        <w:t>，浙江大学、浙江工业大学、浙江理工大学、杭州电子科技大学，之江实验室、白马湖实验室、中国科学院宁波技术与工程研究所、南湖脑机交叉研究院</w:t>
      </w:r>
    </w:p>
    <w:p w14:paraId="5C7D57BC">
      <w:pPr>
        <w:pStyle w:val="7"/>
        <w:spacing w:line="600" w:lineRule="exact"/>
        <w:ind w:firstLine="320"/>
      </w:pPr>
    </w:p>
    <w:p w14:paraId="72A85FA0"/>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AB271E-B900-4202-AB2E-BB63C8A072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2977106-53EC-4EC6-86E7-89760DC7C048}"/>
  </w:font>
  <w:font w:name="仿宋_GB2312">
    <w:altName w:val="仿宋"/>
    <w:panose1 w:val="02010609030101010101"/>
    <w:charset w:val="86"/>
    <w:family w:val="modern"/>
    <w:pitch w:val="default"/>
    <w:sig w:usb0="00000000" w:usb1="00000000" w:usb2="00000000" w:usb3="00000000" w:csb0="00040000" w:csb1="00000000"/>
    <w:embedRegular r:id="rId3" w:fontKey="{71A71D9A-0970-4B1B-8538-40859EE0E0E4}"/>
  </w:font>
  <w:font w:name="方正小标宋简体">
    <w:panose1 w:val="02000000000000000000"/>
    <w:charset w:val="86"/>
    <w:family w:val="script"/>
    <w:pitch w:val="default"/>
    <w:sig w:usb0="00000001" w:usb1="08000000" w:usb2="00000000" w:usb3="00000000" w:csb0="00040000" w:csb1="00000000"/>
    <w:embedRegular r:id="rId4" w:fontKey="{6646765D-71C4-4439-B760-CDB82C8481EF}"/>
  </w:font>
  <w:font w:name="楷体_GB2312">
    <w:altName w:val="楷体"/>
    <w:panose1 w:val="02010609030101010101"/>
    <w:charset w:val="86"/>
    <w:family w:val="modern"/>
    <w:pitch w:val="default"/>
    <w:sig w:usb0="00000000" w:usb1="00000000" w:usb2="00000000" w:usb3="00000000" w:csb0="00040000" w:csb1="00000000"/>
    <w:embedRegular r:id="rId5" w:fontKey="{646FC54E-2E17-412A-BE90-F54E69499586}"/>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94F3F"/>
    <w:rsid w:val="37C94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ind w:left="214"/>
    </w:pPr>
    <w:rPr>
      <w:sz w:val="32"/>
      <w:szCs w:val="32"/>
    </w:rPr>
  </w:style>
  <w:style w:type="paragraph" w:styleId="3">
    <w:name w:val="index 7"/>
    <w:basedOn w:val="1"/>
    <w:next w:val="1"/>
    <w:unhideWhenUsed/>
    <w:qFormat/>
    <w:uiPriority w:val="0"/>
    <w:pPr>
      <w:ind w:left="2520"/>
    </w:pPr>
  </w:style>
  <w:style w:type="paragraph" w:styleId="5">
    <w:name w:val="Plain Text"/>
    <w:basedOn w:val="1"/>
    <w:unhideWhenUsed/>
    <w:qFormat/>
    <w:uiPriority w:val="99"/>
    <w:rPr>
      <w:rFonts w:ascii="宋体" w:hAnsi="Courier New" w:cs="Courier New"/>
      <w:szCs w:val="21"/>
    </w:rPr>
  </w:style>
  <w:style w:type="paragraph" w:styleId="6">
    <w:name w:val="footer"/>
    <w:basedOn w:val="1"/>
    <w:unhideWhenUsed/>
    <w:uiPriority w:val="99"/>
    <w:pPr>
      <w:tabs>
        <w:tab w:val="center" w:pos="4153"/>
        <w:tab w:val="right" w:pos="8306"/>
      </w:tabs>
      <w:snapToGrid w:val="0"/>
      <w:jc w:val="left"/>
    </w:pPr>
    <w:rPr>
      <w:sz w:val="18"/>
      <w:szCs w:val="18"/>
    </w:rPr>
  </w:style>
  <w:style w:type="paragraph" w:styleId="7">
    <w:name w:val="Body Text First Indent"/>
    <w:basedOn w:val="2"/>
    <w:next w:val="5"/>
    <w:qFormat/>
    <w:uiPriority w:val="99"/>
    <w:pPr>
      <w:ind w:firstLine="420" w:firstLineChars="100"/>
    </w:pPr>
  </w:style>
  <w:style w:type="character" w:styleId="10">
    <w:name w:val="page number"/>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2026-05-27T06:32:00Z</dcterms:created>
  <dc:creator>rcs</dc:creator>
  <cp:lastModifiedBy>rcs</cp:lastModifiedBy>
  <dcterms:modified xsi:type="dcterms:W3CDTF">2026-05-27T06:33:53Z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0B2982B6F1A7475CA014F0A3CDBFACBA_11</vt:lpwstr>
  </property>
  <property fmtid="{D5CDD505-2E9C-101B-9397-08002B2CF9AE}" pid="4" name="KSOTemplateDocerSaveRecord">
    <vt:lpwstr>eyJoZGlkIjoiYjk5ODM0YmMxOWJiYWQyNDU4MGIzYWRmYTA0ZmI5NDciLCJ1c2VySWQiOiIyMzM2MTEzMDAifQ==</vt:lpwstr>
  </property>
</Properties>
</file>