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0"/>
        <w:gridCol w:w="260"/>
        <w:gridCol w:w="2240"/>
        <w:gridCol w:w="1074"/>
        <w:gridCol w:w="96"/>
        <w:gridCol w:w="640"/>
        <w:gridCol w:w="1036"/>
        <w:gridCol w:w="2154"/>
        <w:gridCol w:w="90"/>
        <w:gridCol w:w="1300"/>
        <w:gridCol w:w="221"/>
        <w:gridCol w:w="1960"/>
        <w:gridCol w:w="97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b/>
                <w:bCs/>
                <w:color w:val="auto"/>
                <w:sz w:val="28"/>
                <w:szCs w:val="28"/>
              </w:rPr>
            </w:pPr>
            <w:r>
              <w:rPr>
                <w:rFonts w:hint="eastAsia"/>
                <w:b/>
                <w:bCs/>
                <w:color w:val="auto"/>
                <w:sz w:val="44"/>
                <w:szCs w:val="44"/>
              </w:rPr>
              <w:t>杭州市</w:t>
            </w:r>
            <w:r>
              <w:rPr>
                <w:rFonts w:hint="eastAsia"/>
                <w:b/>
                <w:bCs/>
                <w:color w:val="auto"/>
                <w:sz w:val="44"/>
                <w:szCs w:val="44"/>
                <w:lang w:val="en-US" w:eastAsia="zh-CN"/>
              </w:rPr>
              <w:t>高质量信用管理企业培育工作</w:t>
            </w:r>
            <w:r>
              <w:rPr>
                <w:rFonts w:hint="eastAsia"/>
                <w:b/>
                <w:bCs/>
                <w:color w:val="auto"/>
                <w:sz w:val="44"/>
                <w:szCs w:val="44"/>
              </w:rPr>
              <w:t>表（一般企业）</w:t>
            </w:r>
          </w:p>
          <w:p>
            <w:pPr>
              <w:pStyle w:val="7"/>
              <w:ind w:firstLine="0" w:firstLineChars="0"/>
              <w:jc w:val="center"/>
              <w:rPr>
                <w:rFonts w:hint="default" w:eastAsia="宋体"/>
                <w:color w:val="auto"/>
                <w:sz w:val="28"/>
                <w:szCs w:val="28"/>
                <w:lang w:val="en-US" w:eastAsia="zh-CN"/>
              </w:rPr>
            </w:pPr>
            <w:r>
              <w:rPr>
                <w:rFonts w:hint="eastAsia"/>
                <w:b w:val="0"/>
                <w:bCs w:val="0"/>
                <w:color w:val="auto"/>
                <w:sz w:val="32"/>
                <w:szCs w:val="32"/>
              </w:rPr>
              <w:t>□企业自评   □资料</w:t>
            </w:r>
            <w:r>
              <w:rPr>
                <w:rFonts w:hint="eastAsia"/>
                <w:b w:val="0"/>
                <w:bCs w:val="0"/>
                <w:color w:val="auto"/>
                <w:sz w:val="32"/>
                <w:szCs w:val="32"/>
                <w:lang w:val="en-US" w:eastAsia="zh-CN"/>
              </w:rPr>
              <w:t>核查</w:t>
            </w:r>
            <w:r>
              <w:rPr>
                <w:rFonts w:hint="eastAsia"/>
                <w:b w:val="0"/>
                <w:bCs w:val="0"/>
                <w:color w:val="auto"/>
                <w:sz w:val="32"/>
                <w:szCs w:val="32"/>
              </w:rPr>
              <w:t xml:space="preserve">   □现场</w:t>
            </w:r>
            <w:r>
              <w:rPr>
                <w:rFonts w:hint="eastAsia"/>
                <w:b w:val="0"/>
                <w:bCs w:val="0"/>
                <w:color w:val="auto"/>
                <w:sz w:val="32"/>
                <w:szCs w:val="32"/>
                <w:lang w:val="en-US" w:eastAsia="zh-CN"/>
              </w:rPr>
              <w:t>诊断（请根据方式勾选）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企业名称</w:t>
            </w:r>
          </w:p>
        </w:tc>
        <w:tc>
          <w:tcPr>
            <w:tcW w:w="5346" w:type="dxa"/>
            <w:gridSpan w:val="6"/>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p>
        </w:tc>
        <w:tc>
          <w:tcPr>
            <w:tcW w:w="5401" w:type="dxa"/>
            <w:gridSpan w:val="6"/>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企业法定代表人</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tc>
        <w:tc>
          <w:tcPr>
            <w:tcW w:w="1772"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企业信用管理负责人</w:t>
            </w:r>
          </w:p>
        </w:tc>
        <w:tc>
          <w:tcPr>
            <w:tcW w:w="161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p>
        </w:tc>
        <w:tc>
          <w:tcPr>
            <w:tcW w:w="183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default"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申报类型</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□新申报  □续展申报</w:t>
            </w:r>
          </w:p>
        </w:tc>
        <w:tc>
          <w:tcPr>
            <w:tcW w:w="1074"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r>
              <w:rPr>
                <w:rFonts w:hint="eastAsia" w:hAnsi="宋体" w:cs="宋体"/>
                <w:color w:val="auto"/>
                <w:sz w:val="21"/>
                <w:szCs w:val="21"/>
                <w:lang w:val="en-US" w:eastAsia="zh-CN"/>
              </w:rPr>
              <w:t>小组成</w:t>
            </w:r>
            <w:r>
              <w:rPr>
                <w:rFonts w:hint="eastAsia" w:ascii="宋体" w:hAnsi="宋体" w:eastAsia="宋体" w:cs="宋体"/>
                <w:color w:val="auto"/>
                <w:sz w:val="21"/>
                <w:szCs w:val="21"/>
              </w:rPr>
              <w:t>员</w:t>
            </w:r>
          </w:p>
        </w:tc>
        <w:tc>
          <w:tcPr>
            <w:tcW w:w="1772"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default" w:ascii="宋体" w:hAnsi="宋体" w:eastAsia="宋体" w:cs="宋体"/>
                <w:color w:val="auto"/>
                <w:sz w:val="21"/>
                <w:szCs w:val="21"/>
                <w:lang w:val="en-US" w:eastAsia="zh-CN"/>
              </w:rPr>
            </w:pPr>
          </w:p>
        </w:tc>
        <w:tc>
          <w:tcPr>
            <w:tcW w:w="2154"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r>
              <w:rPr>
                <w:rFonts w:hint="eastAsia" w:hAnsi="宋体" w:cs="宋体"/>
                <w:color w:val="auto"/>
                <w:sz w:val="21"/>
                <w:szCs w:val="21"/>
                <w:lang w:val="en-US" w:eastAsia="zh-CN"/>
              </w:rPr>
              <w:t>走访</w:t>
            </w:r>
            <w:r>
              <w:rPr>
                <w:rFonts w:hint="eastAsia" w:ascii="宋体" w:hAnsi="宋体" w:eastAsia="宋体" w:cs="宋体"/>
                <w:color w:val="auto"/>
                <w:sz w:val="21"/>
                <w:szCs w:val="21"/>
              </w:rPr>
              <w:t>日期</w:t>
            </w:r>
          </w:p>
        </w:tc>
        <w:tc>
          <w:tcPr>
            <w:tcW w:w="1611" w:type="dxa"/>
            <w:gridSpan w:val="3"/>
            <w:tcBorders>
              <w:top w:val="single" w:color="auto" w:sz="4" w:space="0"/>
              <w:left w:val="single" w:color="auto" w:sz="4" w:space="0"/>
              <w:bottom w:val="single" w:color="auto" w:sz="4" w:space="0"/>
              <w:right w:val="single" w:color="auto" w:sz="4" w:space="0"/>
            </w:tcBorders>
            <w:vAlign w:val="center"/>
          </w:tcPr>
          <w:p>
            <w:pPr>
              <w:pStyle w:val="7"/>
              <w:ind w:left="0" w:leftChars="0" w:firstLine="0" w:firstLineChars="0"/>
              <w:jc w:val="center"/>
              <w:rPr>
                <w:rFonts w:hint="eastAsia" w:ascii="宋体" w:hAnsi="宋体" w:eastAsia="宋体" w:cs="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vAlign w:val="center"/>
          </w:tcPr>
          <w:p>
            <w:pPr>
              <w:pStyle w:val="7"/>
              <w:tabs>
                <w:tab w:val="left" w:pos="642"/>
              </w:tabs>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得分</w:t>
            </w:r>
          </w:p>
          <w:p>
            <w:pPr>
              <w:pStyle w:val="7"/>
              <w:tabs>
                <w:tab w:val="left" w:pos="642"/>
              </w:tabs>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（满分为 110 分）</w:t>
            </w:r>
          </w:p>
        </w:tc>
        <w:tc>
          <w:tcPr>
            <w:tcW w:w="183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自我诚信承诺（仅企业自评时，由企业自行填写）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11550" w:firstLineChars="5500"/>
              <w:rPr>
                <w:rFonts w:hint="eastAsia" w:hAnsi="宋体" w:cs="宋体"/>
                <w:color w:val="auto"/>
                <w:sz w:val="21"/>
                <w:szCs w:val="21"/>
                <w:lang w:val="en-US" w:eastAsia="zh-CN"/>
              </w:rPr>
            </w:pPr>
          </w:p>
          <w:p>
            <w:pPr>
              <w:pStyle w:val="7"/>
              <w:ind w:firstLine="11550" w:firstLineChars="5500"/>
              <w:rPr>
                <w:rFonts w:hint="eastAsia" w:hAnsi="宋体" w:cs="宋体"/>
                <w:color w:val="auto"/>
                <w:sz w:val="21"/>
                <w:szCs w:val="21"/>
                <w:lang w:val="en-US" w:eastAsia="zh-CN"/>
              </w:rPr>
            </w:pPr>
          </w:p>
          <w:p>
            <w:pPr>
              <w:pStyle w:val="7"/>
              <w:ind w:firstLine="11550" w:firstLineChars="5500"/>
              <w:rPr>
                <w:rFonts w:hint="eastAsia" w:hAnsi="宋体" w:cs="宋体"/>
                <w:color w:val="auto"/>
                <w:sz w:val="21"/>
                <w:szCs w:val="21"/>
                <w:lang w:val="en-US" w:eastAsia="zh-CN"/>
              </w:rPr>
            </w:pPr>
            <w:r>
              <w:rPr>
                <w:rFonts w:hint="eastAsia" w:hAnsi="宋体" w:cs="宋体"/>
                <w:color w:val="auto"/>
                <w:sz w:val="21"/>
                <w:szCs w:val="21"/>
                <w:lang w:val="en-US" w:eastAsia="zh-CN"/>
              </w:rPr>
              <w:t>企业（公章）：</w:t>
            </w:r>
          </w:p>
          <w:p>
            <w:pPr>
              <w:pStyle w:val="7"/>
              <w:ind w:firstLine="12390" w:firstLineChars="5900"/>
              <w:rPr>
                <w:rFonts w:hint="default" w:hAnsi="宋体" w:cs="宋体"/>
                <w:color w:val="auto"/>
                <w:sz w:val="21"/>
                <w:szCs w:val="21"/>
                <w:lang w:val="en-US" w:eastAsia="zh-CN"/>
              </w:rPr>
            </w:pPr>
            <w:r>
              <w:rPr>
                <w:rFonts w:hint="eastAsia" w:hAnsi="宋体" w:cs="宋体"/>
                <w:color w:val="auto"/>
                <w:sz w:val="21"/>
                <w:szCs w:val="21"/>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eastAsia"/>
                <w:color w:val="auto"/>
                <w:sz w:val="18"/>
                <w:szCs w:val="18"/>
              </w:rPr>
            </w:pPr>
            <w:r>
              <w:rPr>
                <w:rFonts w:hint="eastAsia"/>
                <w:b/>
                <w:bCs/>
                <w:color w:val="auto"/>
                <w:sz w:val="24"/>
                <w:szCs w:val="24"/>
              </w:rPr>
              <w:t>一、信用管理体系建设（40分）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02"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200" w:firstLineChars="95"/>
              <w:jc w:val="center"/>
              <w:rPr>
                <w:rFonts w:hint="eastAsia" w:ascii="宋体" w:hAnsi="宋体" w:eastAsia="宋体" w:cs="宋体"/>
                <w:b/>
                <w:bCs/>
                <w:color w:val="auto"/>
                <w:sz w:val="21"/>
                <w:szCs w:val="21"/>
              </w:rPr>
            </w:pPr>
            <w:r>
              <w:rPr>
                <w:rFonts w:hint="eastAsia" w:hAnsi="宋体" w:cs="宋体"/>
                <w:b/>
                <w:bCs/>
                <w:color w:val="auto"/>
                <w:sz w:val="21"/>
                <w:szCs w:val="21"/>
                <w:lang w:val="en-US" w:eastAsia="zh-CN"/>
              </w:rPr>
              <w:t>诊断</w:t>
            </w:r>
            <w:r>
              <w:rPr>
                <w:rFonts w:hint="eastAsia" w:ascii="宋体" w:hAnsi="宋体" w:eastAsia="宋体" w:cs="宋体"/>
                <w:b/>
                <w:bCs/>
                <w:color w:val="auto"/>
                <w:sz w:val="21"/>
                <w:szCs w:val="21"/>
              </w:rPr>
              <w:t>内容</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328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考量内容或考量公式以及测算结果的积分范围</w:t>
            </w:r>
          </w:p>
        </w:tc>
        <w:tc>
          <w:tcPr>
            <w:tcW w:w="130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hAnsi="宋体" w:cs="宋体"/>
                <w:b/>
                <w:bCs/>
                <w:color w:val="auto"/>
                <w:sz w:val="21"/>
                <w:szCs w:val="21"/>
                <w:lang w:val="en-US" w:eastAsia="zh-CN"/>
              </w:rPr>
              <w:t>诊断</w:t>
            </w:r>
            <w:r>
              <w:rPr>
                <w:rFonts w:hint="eastAsia" w:ascii="宋体" w:hAnsi="宋体" w:eastAsia="宋体" w:cs="宋体"/>
                <w:b/>
                <w:bCs/>
                <w:color w:val="auto"/>
                <w:sz w:val="21"/>
                <w:szCs w:val="21"/>
                <w:lang w:val="en-US" w:eastAsia="zh-CN"/>
              </w:rPr>
              <w:t>记录</w:t>
            </w: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02" w:type="dxa"/>
            <w:vMerge w:val="restart"/>
            <w:tcBorders>
              <w:top w:val="nil"/>
              <w:left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1.1</w:t>
            </w:r>
          </w:p>
        </w:tc>
        <w:tc>
          <w:tcPr>
            <w:tcW w:w="1200" w:type="dxa"/>
            <w:gridSpan w:val="2"/>
            <w:vMerge w:val="restart"/>
            <w:tcBorders>
              <w:top w:val="nil"/>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组织机构</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1.1.1是否建立了中层及以上级别的企业信用管理的组织机构，并明确各部门及相关人员的工作职责</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2</w:t>
            </w:r>
          </w:p>
        </w:tc>
        <w:tc>
          <w:tcPr>
            <w:tcW w:w="328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未建立或未明确规定各部门职责/已建立，仅设立兼职信用管理部门，但各部门职责明确/已建立，且设立专职信用管理部门，各部门职责明确</w:t>
            </w:r>
          </w:p>
        </w:tc>
        <w:tc>
          <w:tcPr>
            <w:tcW w:w="130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0分/1分/2分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continue"/>
            <w:tcBorders>
              <w:top w:val="nil"/>
              <w:left w:val="single" w:color="auto" w:sz="4" w:space="0"/>
              <w:bottom w:val="single" w:color="auto" w:sz="4" w:space="0"/>
              <w:right w:val="single" w:color="auto" w:sz="4" w:space="0"/>
            </w:tcBorders>
            <w:vAlign w:val="center"/>
          </w:tcPr>
          <w:p>
            <w:pPr>
              <w:pStyle w:val="7"/>
              <w:ind w:firstLine="360"/>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default" w:eastAsia="宋体"/>
                <w:color w:val="auto"/>
                <w:sz w:val="18"/>
                <w:szCs w:val="18"/>
                <w:highlight w:val="none"/>
                <w:lang w:val="en-US" w:eastAsia="zh-CN"/>
              </w:rPr>
            </w:pPr>
            <w:r>
              <w:rPr>
                <w:rFonts w:hint="eastAsia"/>
                <w:color w:val="auto"/>
                <w:sz w:val="18"/>
                <w:szCs w:val="18"/>
                <w:highlight w:val="none"/>
              </w:rPr>
              <w:t>1.1.2是否配备了专（兼）职的企业信用管理人员，</w:t>
            </w:r>
            <w:r>
              <w:rPr>
                <w:rFonts w:hint="eastAsia"/>
                <w:color w:val="auto"/>
                <w:sz w:val="18"/>
                <w:szCs w:val="18"/>
                <w:highlight w:val="none"/>
                <w:lang w:val="en-US" w:eastAsia="zh-CN"/>
              </w:rPr>
              <w:t>人员是否参与信用管理师相关培训</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2</w:t>
            </w:r>
          </w:p>
        </w:tc>
        <w:tc>
          <w:tcPr>
            <w:tcW w:w="328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rFonts w:hint="default"/>
                <w:color w:val="auto"/>
                <w:sz w:val="18"/>
                <w:szCs w:val="18"/>
                <w:highlight w:val="none"/>
                <w:lang w:val="en-US"/>
              </w:rPr>
            </w:pPr>
            <w:r>
              <w:rPr>
                <w:rFonts w:hint="eastAsia"/>
                <w:color w:val="auto"/>
                <w:sz w:val="18"/>
                <w:szCs w:val="18"/>
                <w:highlight w:val="none"/>
              </w:rPr>
              <w:t>未配备人员</w:t>
            </w:r>
            <w:r>
              <w:rPr>
                <w:rFonts w:hint="eastAsia"/>
                <w:color w:val="auto"/>
                <w:sz w:val="18"/>
                <w:szCs w:val="18"/>
                <w:highlight w:val="none"/>
                <w:lang w:val="en-US" w:eastAsia="zh-CN"/>
              </w:rPr>
              <w:t>或人员未</w:t>
            </w:r>
            <w:r>
              <w:rPr>
                <w:rFonts w:hint="eastAsia"/>
                <w:color w:val="auto"/>
                <w:sz w:val="18"/>
                <w:szCs w:val="18"/>
                <w:highlight w:val="none"/>
              </w:rPr>
              <w:t>经培训上岗/有</w:t>
            </w:r>
            <w:r>
              <w:rPr>
                <w:rFonts w:hint="eastAsia"/>
                <w:color w:val="auto"/>
                <w:sz w:val="18"/>
                <w:szCs w:val="18"/>
                <w:highlight w:val="none"/>
                <w:lang w:val="en-US" w:eastAsia="zh-CN"/>
              </w:rPr>
              <w:t>专（</w:t>
            </w:r>
            <w:r>
              <w:rPr>
                <w:rFonts w:hint="eastAsia"/>
                <w:color w:val="auto"/>
                <w:sz w:val="18"/>
                <w:szCs w:val="18"/>
                <w:highlight w:val="none"/>
              </w:rPr>
              <w:t>兼</w:t>
            </w:r>
            <w:r>
              <w:rPr>
                <w:rFonts w:hint="eastAsia"/>
                <w:color w:val="auto"/>
                <w:sz w:val="18"/>
                <w:szCs w:val="18"/>
                <w:highlight w:val="none"/>
                <w:lang w:eastAsia="zh-CN"/>
              </w:rPr>
              <w:t>）</w:t>
            </w:r>
            <w:r>
              <w:rPr>
                <w:rFonts w:hint="eastAsia"/>
                <w:color w:val="auto"/>
                <w:sz w:val="18"/>
                <w:szCs w:val="18"/>
                <w:highlight w:val="none"/>
              </w:rPr>
              <w:t>职人员且经培训上岗/有专职人员且</w:t>
            </w:r>
            <w:r>
              <w:rPr>
                <w:rFonts w:hint="eastAsia"/>
                <w:color w:val="auto"/>
                <w:sz w:val="18"/>
                <w:szCs w:val="18"/>
                <w:highlight w:val="none"/>
                <w:lang w:val="en-US" w:eastAsia="zh-CN"/>
              </w:rPr>
              <w:t>参与信用管理师相关培训</w:t>
            </w:r>
          </w:p>
        </w:tc>
        <w:tc>
          <w:tcPr>
            <w:tcW w:w="130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0分/1分/2分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7"/>
              <w:ind w:firstLine="360"/>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1.1.3企业最高管理者是否确立了与企业宗旨相适应的诚信方针和诚信目标</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2</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未制定/已制定但欠合理/已制定并较为合理</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0分/1分/2分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制度建设</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1.1.4是否制定了以下制度：</w:t>
            </w:r>
          </w:p>
          <w:p>
            <w:pPr>
              <w:pStyle w:val="7"/>
              <w:ind w:firstLine="0" w:firstLineChars="0"/>
              <w:rPr>
                <w:color w:val="auto"/>
                <w:sz w:val="18"/>
                <w:szCs w:val="18"/>
                <w:highlight w:val="none"/>
              </w:rPr>
            </w:pPr>
            <w:r>
              <w:rPr>
                <w:rFonts w:hint="eastAsia"/>
                <w:color w:val="auto"/>
                <w:sz w:val="18"/>
                <w:szCs w:val="18"/>
                <w:highlight w:val="none"/>
              </w:rPr>
              <w:t>（1）诚信管理岗位责任制度；</w:t>
            </w:r>
          </w:p>
          <w:p>
            <w:pPr>
              <w:pStyle w:val="7"/>
              <w:ind w:firstLine="0" w:firstLineChars="0"/>
              <w:rPr>
                <w:color w:val="auto"/>
                <w:sz w:val="18"/>
                <w:szCs w:val="18"/>
                <w:highlight w:val="none"/>
              </w:rPr>
            </w:pPr>
            <w:r>
              <w:rPr>
                <w:rFonts w:hint="eastAsia"/>
                <w:color w:val="auto"/>
                <w:sz w:val="18"/>
                <w:szCs w:val="18"/>
                <w:highlight w:val="none"/>
              </w:rPr>
              <w:t>（2）信用档案管理制度；</w:t>
            </w:r>
          </w:p>
          <w:p>
            <w:pPr>
              <w:pStyle w:val="7"/>
              <w:ind w:firstLine="0" w:firstLineChars="0"/>
              <w:rPr>
                <w:color w:val="auto"/>
                <w:sz w:val="18"/>
                <w:szCs w:val="18"/>
                <w:highlight w:val="none"/>
              </w:rPr>
            </w:pPr>
            <w:r>
              <w:rPr>
                <w:rFonts w:hint="eastAsia"/>
                <w:color w:val="auto"/>
                <w:sz w:val="18"/>
                <w:szCs w:val="18"/>
                <w:highlight w:val="none"/>
              </w:rPr>
              <w:t>（3）信用调查管理制度；</w:t>
            </w:r>
          </w:p>
          <w:p>
            <w:pPr>
              <w:pStyle w:val="7"/>
              <w:ind w:firstLine="0" w:firstLineChars="0"/>
              <w:rPr>
                <w:color w:val="auto"/>
                <w:sz w:val="18"/>
                <w:szCs w:val="18"/>
                <w:highlight w:val="none"/>
              </w:rPr>
            </w:pPr>
            <w:r>
              <w:rPr>
                <w:rFonts w:hint="eastAsia"/>
                <w:color w:val="auto"/>
                <w:sz w:val="18"/>
                <w:szCs w:val="18"/>
                <w:highlight w:val="none"/>
              </w:rPr>
              <w:t>（4）授信管理制度；</w:t>
            </w:r>
          </w:p>
          <w:p>
            <w:pPr>
              <w:pStyle w:val="7"/>
              <w:ind w:firstLine="0" w:firstLineChars="0"/>
              <w:rPr>
                <w:color w:val="auto"/>
                <w:sz w:val="18"/>
                <w:szCs w:val="18"/>
                <w:highlight w:val="none"/>
              </w:rPr>
            </w:pPr>
            <w:r>
              <w:rPr>
                <w:rFonts w:hint="eastAsia"/>
                <w:color w:val="auto"/>
                <w:sz w:val="18"/>
                <w:szCs w:val="18"/>
                <w:highlight w:val="none"/>
              </w:rPr>
              <w:t>（5）合同管理制度；</w:t>
            </w:r>
          </w:p>
          <w:p>
            <w:pPr>
              <w:pStyle w:val="7"/>
              <w:ind w:firstLine="0" w:firstLineChars="0"/>
              <w:rPr>
                <w:color w:val="auto"/>
                <w:sz w:val="18"/>
                <w:szCs w:val="18"/>
                <w:highlight w:val="none"/>
              </w:rPr>
            </w:pPr>
            <w:r>
              <w:rPr>
                <w:rFonts w:hint="eastAsia"/>
                <w:color w:val="auto"/>
                <w:sz w:val="18"/>
                <w:szCs w:val="18"/>
                <w:highlight w:val="none"/>
              </w:rPr>
              <w:t>（6）应收账款管理制度；</w:t>
            </w:r>
          </w:p>
          <w:p>
            <w:pPr>
              <w:pStyle w:val="7"/>
              <w:ind w:firstLine="0" w:firstLineChars="0"/>
              <w:rPr>
                <w:color w:val="auto"/>
                <w:sz w:val="18"/>
                <w:szCs w:val="18"/>
                <w:highlight w:val="none"/>
              </w:rPr>
            </w:pPr>
            <w:r>
              <w:rPr>
                <w:rFonts w:hint="eastAsia"/>
                <w:color w:val="auto"/>
                <w:sz w:val="18"/>
                <w:szCs w:val="18"/>
                <w:highlight w:val="none"/>
              </w:rPr>
              <w:t>（7）诚信信息交流与控制制度；</w:t>
            </w:r>
          </w:p>
          <w:p>
            <w:pPr>
              <w:pStyle w:val="7"/>
              <w:ind w:firstLine="0" w:firstLineChars="0"/>
              <w:rPr>
                <w:color w:val="auto"/>
                <w:sz w:val="18"/>
                <w:szCs w:val="18"/>
                <w:highlight w:val="none"/>
              </w:rPr>
            </w:pPr>
            <w:r>
              <w:rPr>
                <w:rFonts w:hint="eastAsia"/>
                <w:color w:val="auto"/>
                <w:sz w:val="18"/>
                <w:szCs w:val="18"/>
                <w:highlight w:val="none"/>
              </w:rPr>
              <w:t>（8）诚信风险管理与应急处置制度；</w:t>
            </w:r>
          </w:p>
          <w:p>
            <w:pPr>
              <w:pStyle w:val="7"/>
              <w:ind w:firstLine="0" w:firstLineChars="0"/>
              <w:rPr>
                <w:color w:val="auto"/>
                <w:sz w:val="18"/>
                <w:szCs w:val="18"/>
                <w:highlight w:val="none"/>
              </w:rPr>
            </w:pPr>
            <w:r>
              <w:rPr>
                <w:rFonts w:hint="eastAsia"/>
                <w:color w:val="auto"/>
                <w:sz w:val="18"/>
                <w:szCs w:val="18"/>
                <w:highlight w:val="none"/>
              </w:rPr>
              <w:t>（9）诚信系统运维管理制度；</w:t>
            </w:r>
          </w:p>
          <w:p>
            <w:pPr>
              <w:pStyle w:val="7"/>
              <w:ind w:firstLine="0" w:firstLineChars="0"/>
              <w:rPr>
                <w:color w:val="auto"/>
                <w:sz w:val="18"/>
                <w:szCs w:val="18"/>
                <w:highlight w:val="none"/>
              </w:rPr>
            </w:pPr>
            <w:r>
              <w:rPr>
                <w:rFonts w:hint="eastAsia"/>
                <w:color w:val="auto"/>
                <w:sz w:val="18"/>
                <w:szCs w:val="18"/>
                <w:highlight w:val="none"/>
              </w:rPr>
              <w:t>（10）诚信工作质量考核奖励与处罚制度。</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少于5项/已制定其中5项/制定6-7项/全部制定</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0分/2分/3分/4分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培训和文化建设</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1.1.5是否定期组织对企业内部开展信用管理知识培训和宣传活动</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Chars="111"/>
              <w:rPr>
                <w:color w:val="auto"/>
                <w:sz w:val="18"/>
                <w:szCs w:val="18"/>
                <w:highlight w:val="none"/>
              </w:rPr>
            </w:pPr>
            <w:r>
              <w:rPr>
                <w:rFonts w:hint="eastAsia"/>
                <w:color w:val="auto"/>
                <w:sz w:val="18"/>
                <w:szCs w:val="18"/>
                <w:highlight w:val="none"/>
              </w:rPr>
              <w:t>1</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未开展/已开展，新申报企业当年至少1次（续展申报企业平均每年至少开展1次）</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0分/1分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restart"/>
            <w:tcBorders>
              <w:top w:val="nil"/>
              <w:left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客户信用</w:t>
            </w:r>
          </w:p>
          <w:p>
            <w:pPr>
              <w:pStyle w:val="7"/>
              <w:ind w:firstLine="0" w:firstLineChars="0"/>
              <w:jc w:val="center"/>
              <w:rPr>
                <w:color w:val="auto"/>
                <w:sz w:val="18"/>
                <w:szCs w:val="18"/>
                <w:highlight w:val="none"/>
              </w:rPr>
            </w:pPr>
            <w:r>
              <w:rPr>
                <w:rFonts w:hint="eastAsia"/>
                <w:color w:val="auto"/>
                <w:sz w:val="18"/>
                <w:szCs w:val="18"/>
                <w:highlight w:val="none"/>
              </w:rPr>
              <w:t>管理</w:t>
            </w:r>
          </w:p>
          <w:p>
            <w:pPr>
              <w:pStyle w:val="7"/>
              <w:ind w:firstLine="0" w:firstLineChars="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1.1.6是否按照分类归档、突出重点、动态管理、适时更新的原则建立了信息化的客户信用档案，实施集中管理并供业务部门共享</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5</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有客户信用信息的电子档案管理，但没有数据库/有电子档案和数据库，但无信息化系统/有信息化系统，且数据完整并更新及时</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1分/3分/5分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continue"/>
            <w:tcBorders>
              <w:left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1.1.7客户信用档案是否包含客户基本信息、客户调查资料、与客户沟通资料、业务资料、商账资料、债权保障资料等信息</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无记录/记录欠完整/记录完整</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0分/2分/4分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02" w:type="dxa"/>
            <w:vMerge w:val="continue"/>
            <w:tcBorders>
              <w:left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continue"/>
            <w:tcBorders>
              <w:left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1.1.8是否从信用能力、信用意愿、交易环境、企业守法、守约信息等方面对客户的信用风险及合作潜力等进行调查、分析评价，实施客户</w:t>
            </w:r>
            <w:r>
              <w:rPr>
                <w:rFonts w:hint="eastAsia" w:ascii="宋体" w:hAnsi="宋体" w:eastAsia="宋体" w:cs="宋体"/>
                <w:color w:val="000000"/>
                <w:kern w:val="0"/>
                <w:sz w:val="18"/>
                <w:szCs w:val="18"/>
                <w:highlight w:val="none"/>
                <w:lang w:val="en-US" w:eastAsia="zh-CN" w:bidi="ar"/>
              </w:rPr>
              <w:t>信用管理评估水平分类</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未开展调查和评价/调查和评价不完整/调查和评价持续完整</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0分/2分/4分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02" w:type="dxa"/>
            <w:vMerge w:val="continue"/>
            <w:tcBorders>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p>
        </w:tc>
        <w:tc>
          <w:tcPr>
            <w:tcW w:w="1200" w:type="dxa"/>
            <w:gridSpan w:val="2"/>
            <w:vMerge w:val="continue"/>
            <w:tcBorders>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rPr>
                <w:color w:val="auto"/>
                <w:sz w:val="18"/>
                <w:szCs w:val="18"/>
                <w:highlight w:val="none"/>
              </w:rPr>
            </w:pPr>
            <w:r>
              <w:rPr>
                <w:rFonts w:hint="eastAsia"/>
                <w:color w:val="auto"/>
                <w:sz w:val="18"/>
                <w:szCs w:val="18"/>
                <w:highlight w:val="none"/>
              </w:rPr>
              <w:t>1.1.9是否对不同类型的客户制订相应的信用政策，根据企业发展内外实际实施动态调整，并进行授信风险控制</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Chars="111"/>
              <w:rPr>
                <w:color w:val="auto"/>
                <w:sz w:val="18"/>
                <w:szCs w:val="18"/>
                <w:highlight w:val="none"/>
              </w:rPr>
            </w:pPr>
            <w:r>
              <w:rPr>
                <w:rFonts w:hint="eastAsia"/>
                <w:color w:val="auto"/>
                <w:sz w:val="18"/>
                <w:szCs w:val="18"/>
                <w:highlight w:val="none"/>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lang w:val="en-US" w:eastAsia="zh-CN"/>
              </w:rPr>
              <w:t>无政策无管理/有政策无管理/有政策手工登记/有政策通用办公软件管理/有政策采用专业软件管理</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w:t>
            </w:r>
            <w:r>
              <w:rPr>
                <w:rFonts w:hint="eastAsia"/>
                <w:color w:val="auto"/>
                <w:sz w:val="18"/>
                <w:szCs w:val="18"/>
                <w:highlight w:val="none"/>
              </w:rPr>
              <w:t>1分/2分</w:t>
            </w:r>
            <w:r>
              <w:rPr>
                <w:rFonts w:hint="eastAsia"/>
                <w:color w:val="auto"/>
                <w:sz w:val="18"/>
                <w:szCs w:val="18"/>
                <w:highlight w:val="none"/>
                <w:lang w:val="en-US" w:eastAsia="zh-CN"/>
              </w:rPr>
              <w:t>/</w:t>
            </w:r>
            <w:r>
              <w:rPr>
                <w:rFonts w:hint="eastAsia"/>
                <w:color w:val="auto"/>
                <w:sz w:val="18"/>
                <w:szCs w:val="18"/>
                <w:highlight w:val="none"/>
              </w:rPr>
              <w:t>3分/4分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0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1.2</w:t>
            </w:r>
          </w:p>
        </w:tc>
        <w:tc>
          <w:tcPr>
            <w:tcW w:w="1200" w:type="dxa"/>
            <w:gridSpan w:val="2"/>
            <w:vMerge w:val="restart"/>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合同管理</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1.2.1合同签订前的风险评估：是否对合同履约风险进行全面分析，实施了合同联合审查机制</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lang w:val="en-US" w:eastAsia="zh-CN"/>
              </w:rPr>
              <w:t>无评审无记录/由业务部门或合同签订人员评审或直接由总经理评审/重大合同由相关部门流转评审/所有</w:t>
            </w:r>
            <w:r>
              <w:rPr>
                <w:color w:val="auto"/>
                <w:sz w:val="18"/>
                <w:szCs w:val="18"/>
                <w:highlight w:val="none"/>
                <w:lang w:val="en-US" w:eastAsia="zh-CN"/>
              </w:rPr>
              <w:t>都有专门的部门或人员评审</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w:t>
            </w: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02" w:type="dxa"/>
            <w:vMerge w:val="continue"/>
            <w:tcBorders>
              <w:top w:val="nil"/>
              <w:left w:val="single" w:color="auto" w:sz="4" w:space="0"/>
              <w:bottom w:val="single" w:color="auto" w:sz="4" w:space="0"/>
              <w:right w:val="single" w:color="auto" w:sz="4" w:space="0"/>
            </w:tcBorders>
            <w:vAlign w:val="center"/>
          </w:tcPr>
          <w:p>
            <w:pPr>
              <w:pStyle w:val="7"/>
              <w:ind w:firstLine="360"/>
              <w:jc w:val="center"/>
              <w:rPr>
                <w:color w:val="auto"/>
                <w:sz w:val="18"/>
                <w:szCs w:val="18"/>
                <w:highlight w:val="none"/>
              </w:rPr>
            </w:pPr>
          </w:p>
        </w:tc>
        <w:tc>
          <w:tcPr>
            <w:tcW w:w="1200" w:type="dxa"/>
            <w:gridSpan w:val="2"/>
            <w:vMerge w:val="continue"/>
            <w:tcBorders>
              <w:top w:val="nil"/>
              <w:left w:val="single" w:color="auto" w:sz="4" w:space="0"/>
              <w:bottom w:val="single" w:color="auto" w:sz="4" w:space="0"/>
              <w:right w:val="single" w:color="auto" w:sz="4" w:space="0"/>
            </w:tcBorders>
            <w:vAlign w:val="center"/>
          </w:tcPr>
          <w:p>
            <w:pPr>
              <w:pStyle w:val="7"/>
              <w:ind w:firstLine="36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1.2.2合同履行过程中的监控与管理：合同文本是否规范，主要条款是否齐全，签字签章手续是否合规；是否严格按合同交验货物、违约时依约索赔，实现制度化履行</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color w:val="auto"/>
                <w:sz w:val="18"/>
                <w:szCs w:val="18"/>
                <w:highlight w:val="none"/>
              </w:rPr>
            </w:pPr>
            <w:r>
              <w:rPr>
                <w:rFonts w:hint="eastAsia"/>
                <w:color w:val="auto"/>
                <w:sz w:val="18"/>
                <w:szCs w:val="18"/>
                <w:highlight w:val="none"/>
              </w:rPr>
              <w:t>1</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不规范/合同条款齐全，但部分签订手续不规范/规范齐全</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0分/0.5分/1分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02" w:type="dxa"/>
            <w:vMerge w:val="continue"/>
            <w:tcBorders>
              <w:top w:val="nil"/>
              <w:left w:val="single" w:color="auto" w:sz="4" w:space="0"/>
              <w:bottom w:val="single" w:color="auto" w:sz="4" w:space="0"/>
              <w:right w:val="single" w:color="auto" w:sz="4" w:space="0"/>
            </w:tcBorders>
            <w:vAlign w:val="center"/>
          </w:tcPr>
          <w:p>
            <w:pPr>
              <w:pStyle w:val="7"/>
              <w:ind w:firstLine="360"/>
              <w:jc w:val="center"/>
              <w:rPr>
                <w:color w:val="auto"/>
                <w:sz w:val="18"/>
                <w:szCs w:val="18"/>
                <w:highlight w:val="none"/>
              </w:rPr>
            </w:pPr>
          </w:p>
        </w:tc>
        <w:tc>
          <w:tcPr>
            <w:tcW w:w="1200" w:type="dxa"/>
            <w:gridSpan w:val="2"/>
            <w:vMerge w:val="continue"/>
            <w:tcBorders>
              <w:top w:val="nil"/>
              <w:left w:val="single" w:color="auto" w:sz="4" w:space="0"/>
              <w:bottom w:val="single" w:color="auto" w:sz="4" w:space="0"/>
              <w:right w:val="single" w:color="auto" w:sz="4" w:space="0"/>
            </w:tcBorders>
            <w:vAlign w:val="center"/>
          </w:tcPr>
          <w:p>
            <w:pPr>
              <w:pStyle w:val="7"/>
              <w:ind w:firstLine="360"/>
              <w:jc w:val="center"/>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1.2.3合同履行后的统计分析与归档：是否建立合同台账，定期统计分析并归档，同时落实执行考核与责任追究制度</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未建立/建立但未开展相应分析、考核或归档工作/建立并开展相应分析，合同归档规范，有考核。</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0分/1分/2分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02" w:type="dxa"/>
            <w:vMerge w:val="restart"/>
            <w:tcBorders>
              <w:top w:val="nil"/>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1.3</w:t>
            </w:r>
          </w:p>
        </w:tc>
        <w:tc>
          <w:tcPr>
            <w:tcW w:w="1200" w:type="dxa"/>
            <w:gridSpan w:val="2"/>
            <w:vMerge w:val="restart"/>
            <w:tcBorders>
              <w:top w:val="nil"/>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商账管理</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1.3.1应收账款的动态管理与催收：是否对应收账款进行动态管理并实施有效催收</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color w:val="auto"/>
                <w:sz w:val="18"/>
                <w:szCs w:val="18"/>
                <w:highlight w:val="none"/>
              </w:rPr>
            </w:pPr>
            <w:r>
              <w:rPr>
                <w:rFonts w:hint="eastAsia"/>
                <w:color w:val="auto"/>
                <w:sz w:val="18"/>
                <w:szCs w:val="18"/>
                <w:highlight w:val="none"/>
              </w:rPr>
              <w:t>4</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未实施/有制度，有分析和催收/有制度，有应收账款分析表和催收方案并执行</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0分/2分/4分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02" w:type="dxa"/>
            <w:vMerge w:val="continue"/>
            <w:tcBorders>
              <w:top w:val="nil"/>
              <w:left w:val="single" w:color="auto" w:sz="4" w:space="0"/>
              <w:bottom w:val="single" w:color="auto" w:sz="4" w:space="0"/>
              <w:right w:val="single" w:color="auto" w:sz="4" w:space="0"/>
            </w:tcBorders>
            <w:vAlign w:val="center"/>
          </w:tcPr>
          <w:p>
            <w:pPr>
              <w:pStyle w:val="7"/>
              <w:ind w:firstLine="360"/>
              <w:rPr>
                <w:color w:val="auto"/>
                <w:sz w:val="18"/>
                <w:szCs w:val="18"/>
                <w:highlight w:val="none"/>
              </w:rPr>
            </w:pPr>
          </w:p>
        </w:tc>
        <w:tc>
          <w:tcPr>
            <w:tcW w:w="1200" w:type="dxa"/>
            <w:gridSpan w:val="2"/>
            <w:vMerge w:val="continue"/>
            <w:tcBorders>
              <w:top w:val="nil"/>
              <w:left w:val="single" w:color="auto" w:sz="4" w:space="0"/>
              <w:bottom w:val="single" w:color="auto" w:sz="4" w:space="0"/>
              <w:right w:val="single" w:color="auto" w:sz="4" w:space="0"/>
            </w:tcBorders>
            <w:vAlign w:val="center"/>
          </w:tcPr>
          <w:p>
            <w:pPr>
              <w:pStyle w:val="7"/>
              <w:ind w:firstLine="360"/>
              <w:rPr>
                <w:color w:val="auto"/>
                <w:sz w:val="18"/>
                <w:szCs w:val="18"/>
                <w:highlight w:val="none"/>
              </w:rPr>
            </w:pP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1.3.2逾期应收账款的监控与预警：是否通过销售变现天数、逾期应收账款比率等指标对应收账款管理绩效进行考核</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color w:val="auto"/>
                <w:sz w:val="18"/>
                <w:szCs w:val="18"/>
                <w:highlight w:val="none"/>
              </w:rPr>
            </w:pPr>
            <w:r>
              <w:rPr>
                <w:rFonts w:hint="eastAsia"/>
                <w:color w:val="auto"/>
                <w:sz w:val="18"/>
                <w:szCs w:val="18"/>
                <w:highlight w:val="none"/>
              </w:rPr>
              <w:t>1</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无评价分析、考核/有定期评价分析和考核</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02"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1.4</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信用产品的运用</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rPr>
                <w:color w:val="auto"/>
                <w:sz w:val="18"/>
                <w:szCs w:val="18"/>
                <w:highlight w:val="none"/>
              </w:rPr>
            </w:pPr>
            <w:r>
              <w:rPr>
                <w:rFonts w:hint="eastAsia"/>
                <w:color w:val="auto"/>
                <w:sz w:val="18"/>
                <w:szCs w:val="18"/>
                <w:highlight w:val="none"/>
              </w:rPr>
              <w:t>1.4.1是否利用外部专业信用服务，运用征信报告、企业信用人工智能诊断、信用评级、</w:t>
            </w:r>
            <w:r>
              <w:rPr>
                <w:rFonts w:hint="eastAsia"/>
                <w:color w:val="auto"/>
                <w:sz w:val="18"/>
                <w:szCs w:val="18"/>
                <w:highlight w:val="none"/>
                <w:lang w:val="en-US" w:eastAsia="zh-CN"/>
              </w:rPr>
              <w:t>信用担保、</w:t>
            </w:r>
            <w:r>
              <w:rPr>
                <w:rFonts w:hint="eastAsia"/>
                <w:color w:val="auto"/>
                <w:sz w:val="18"/>
                <w:szCs w:val="18"/>
                <w:highlight w:val="none"/>
              </w:rPr>
              <w:t>信用保险等产品</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Chars="111"/>
              <w:rPr>
                <w:rFonts w:hint="eastAsia" w:eastAsia="宋体"/>
                <w:color w:val="auto"/>
                <w:sz w:val="18"/>
                <w:szCs w:val="18"/>
                <w:highlight w:val="none"/>
                <w:lang w:eastAsia="zh-CN"/>
              </w:rPr>
            </w:pPr>
            <w:r>
              <w:rPr>
                <w:rFonts w:hint="eastAsia"/>
                <w:color w:val="auto"/>
                <w:sz w:val="18"/>
                <w:szCs w:val="18"/>
                <w:highlight w:val="none"/>
              </w:rPr>
              <w:t>1</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left"/>
              <w:rPr>
                <w:color w:val="auto"/>
                <w:sz w:val="18"/>
                <w:szCs w:val="18"/>
                <w:highlight w:val="none"/>
              </w:rPr>
            </w:pPr>
            <w:r>
              <w:rPr>
                <w:rFonts w:hint="eastAsia"/>
                <w:color w:val="auto"/>
                <w:sz w:val="18"/>
                <w:szCs w:val="18"/>
                <w:highlight w:val="none"/>
              </w:rPr>
              <w:t>不使用/使用</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0分/1分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eastAsia"/>
                <w:color w:val="auto"/>
                <w:sz w:val="18"/>
                <w:szCs w:val="18"/>
                <w:highlight w:val="none"/>
              </w:rPr>
            </w:pPr>
            <w:r>
              <w:rPr>
                <w:rFonts w:hint="eastAsia"/>
                <w:b/>
                <w:bCs/>
                <w:color w:val="auto"/>
                <w:sz w:val="24"/>
                <w:szCs w:val="24"/>
                <w:highlight w:val="none"/>
              </w:rPr>
              <w:t>二、信用管理效应（</w:t>
            </w:r>
            <w:r>
              <w:rPr>
                <w:rFonts w:hint="eastAsia"/>
                <w:b/>
                <w:bCs/>
                <w:color w:val="auto"/>
                <w:sz w:val="24"/>
                <w:szCs w:val="24"/>
                <w:highlight w:val="none"/>
                <w:lang w:val="en-US" w:eastAsia="zh-CN"/>
              </w:rPr>
              <w:t>25</w:t>
            </w:r>
            <w:r>
              <w:rPr>
                <w:rFonts w:hint="eastAsia"/>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序号</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项目</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200" w:firstLineChars="95"/>
              <w:jc w:val="center"/>
              <w:rPr>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rPr>
              <w:t>内容</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分值</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考量内容或考量公式以及测算结果的积分范围</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评分标准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lang w:val="en-US" w:eastAsia="zh-CN"/>
              </w:rPr>
              <w:t>记录</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ascii="宋体" w:hAnsi="宋体" w:eastAsia="宋体" w:cs="宋体"/>
                <w:b/>
                <w:bCs/>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02"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2.1</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销售变现天数</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（期末应收账款额/期间赊销额）×期间天数</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eastAsia="zh-CN"/>
              </w:rPr>
            </w:pPr>
            <w:r>
              <w:rPr>
                <w:rFonts w:hint="eastAsia"/>
                <w:color w:val="auto"/>
                <w:sz w:val="18"/>
                <w:szCs w:val="18"/>
                <w:highlight w:val="none"/>
                <w:lang w:val="en-US" w:eastAsia="zh-CN"/>
              </w:rPr>
              <w:t>8</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≥60天/＜60＞30天/≤30天</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4分/6分/8分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2.2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呆账率</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一年及以上的应收账款额/当年销售总额</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eastAsia="宋体"/>
                <w:color w:val="auto"/>
                <w:sz w:val="18"/>
                <w:szCs w:val="18"/>
                <w:highlight w:val="none"/>
                <w:lang w:eastAsia="zh-CN"/>
              </w:rPr>
            </w:pPr>
            <w:r>
              <w:rPr>
                <w:rFonts w:hint="eastAsia"/>
                <w:color w:val="auto"/>
                <w:sz w:val="18"/>
                <w:szCs w:val="18"/>
                <w:highlight w:val="none"/>
                <w:lang w:val="en-US" w:eastAsia="zh-CN"/>
              </w:rPr>
              <w:t>10</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Chars="111"/>
              <w:jc w:val="left"/>
              <w:rPr>
                <w:color w:val="auto"/>
                <w:sz w:val="18"/>
                <w:szCs w:val="18"/>
                <w:highlight w:val="none"/>
              </w:rPr>
            </w:pPr>
            <w:r>
              <w:rPr>
                <w:rFonts w:hint="eastAsia"/>
                <w:color w:val="auto"/>
                <w:sz w:val="18"/>
                <w:szCs w:val="18"/>
                <w:highlight w:val="none"/>
              </w:rPr>
              <w:t>≥15%/15＞5%/≤5%</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4分/8分/10分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2.3</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交易额增长率</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本年度交易增长额/上年度交易额</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7</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＞0＜10%/≥10%＜30%≥30%</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3</w:t>
            </w:r>
            <w:r>
              <w:rPr>
                <w:rFonts w:hint="eastAsia"/>
                <w:color w:val="auto"/>
                <w:sz w:val="18"/>
                <w:szCs w:val="18"/>
                <w:highlight w:val="none"/>
              </w:rPr>
              <w:t>分/</w:t>
            </w:r>
            <w:r>
              <w:rPr>
                <w:rFonts w:hint="eastAsia"/>
                <w:color w:val="auto"/>
                <w:sz w:val="18"/>
                <w:szCs w:val="18"/>
                <w:highlight w:val="none"/>
                <w:lang w:val="en-US" w:eastAsia="zh-CN"/>
              </w:rPr>
              <w:t>5</w:t>
            </w:r>
            <w:r>
              <w:rPr>
                <w:rFonts w:hint="eastAsia"/>
                <w:color w:val="auto"/>
                <w:sz w:val="18"/>
                <w:szCs w:val="18"/>
                <w:highlight w:val="none"/>
              </w:rPr>
              <w:t>分/</w:t>
            </w:r>
            <w:r>
              <w:rPr>
                <w:rFonts w:hint="eastAsia"/>
                <w:color w:val="auto"/>
                <w:sz w:val="18"/>
                <w:szCs w:val="18"/>
                <w:highlight w:val="none"/>
                <w:lang w:val="en-US" w:eastAsia="zh-CN"/>
              </w:rPr>
              <w:t>7</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lang w:val="en-US" w:eastAsia="zh-CN"/>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eastAsia"/>
                <w:color w:val="auto"/>
                <w:sz w:val="18"/>
                <w:szCs w:val="18"/>
                <w:highlight w:val="none"/>
              </w:rPr>
            </w:pPr>
            <w:r>
              <w:rPr>
                <w:rFonts w:hint="eastAsia"/>
                <w:b/>
                <w:bCs/>
                <w:color w:val="auto"/>
                <w:sz w:val="24"/>
                <w:szCs w:val="24"/>
                <w:highlight w:val="none"/>
              </w:rPr>
              <w:t>三、信用能力（</w:t>
            </w:r>
            <w:r>
              <w:rPr>
                <w:rFonts w:hint="eastAsia"/>
                <w:b/>
                <w:bCs/>
                <w:color w:val="auto"/>
                <w:sz w:val="24"/>
                <w:szCs w:val="24"/>
                <w:highlight w:val="none"/>
                <w:lang w:val="en-US" w:eastAsia="zh-CN"/>
              </w:rPr>
              <w:t>20</w:t>
            </w:r>
            <w:r>
              <w:rPr>
                <w:rFonts w:hint="eastAsia"/>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02"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序号</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项目</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200" w:firstLineChars="95"/>
              <w:jc w:val="center"/>
              <w:rPr>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rPr>
              <w:t>内容</w:t>
            </w:r>
          </w:p>
        </w:tc>
        <w:tc>
          <w:tcPr>
            <w:tcW w:w="64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分值</w:t>
            </w:r>
          </w:p>
        </w:tc>
        <w:tc>
          <w:tcPr>
            <w:tcW w:w="31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考量内容或考量公式以及测算结果的积分范围</w:t>
            </w:r>
          </w:p>
        </w:tc>
        <w:tc>
          <w:tcPr>
            <w:tcW w:w="1390" w:type="dxa"/>
            <w:gridSpan w:val="2"/>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评分标准</w:t>
            </w:r>
          </w:p>
        </w:tc>
        <w:tc>
          <w:tcPr>
            <w:tcW w:w="3151"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lang w:val="en-US" w:eastAsia="zh-CN"/>
              </w:rPr>
              <w:t>记录</w:t>
            </w:r>
          </w:p>
        </w:tc>
        <w:tc>
          <w:tcPr>
            <w:tcW w:w="860"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b/>
                <w:bCs/>
                <w:color w:val="auto"/>
                <w:sz w:val="18"/>
                <w:szCs w:val="18"/>
                <w:highlight w:val="none"/>
              </w:rPr>
            </w:pPr>
            <w:r>
              <w:rPr>
                <w:rFonts w:hint="eastAsia" w:ascii="宋体" w:hAnsi="宋体" w:eastAsia="宋体" w:cs="宋体"/>
                <w:b/>
                <w:bCs/>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3.1</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资本积累率</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近三年所有者权益增长额/三年前所有者权益额</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6</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0/＞0＜5/≥5</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4</w:t>
            </w:r>
            <w:r>
              <w:rPr>
                <w:rFonts w:hint="eastAsia"/>
                <w:color w:val="auto"/>
                <w:sz w:val="18"/>
                <w:szCs w:val="18"/>
                <w:highlight w:val="none"/>
              </w:rPr>
              <w:t>分/</w:t>
            </w:r>
            <w:r>
              <w:rPr>
                <w:rFonts w:hint="eastAsia"/>
                <w:color w:val="auto"/>
                <w:sz w:val="18"/>
                <w:szCs w:val="18"/>
                <w:highlight w:val="none"/>
                <w:lang w:val="en-US" w:eastAsia="zh-CN"/>
              </w:rPr>
              <w:t>6</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速动比率</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（流动资产-存货）/流动负债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6</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＜0.5/≥0.5＜1/≥1</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2</w:t>
            </w:r>
            <w:r>
              <w:rPr>
                <w:rFonts w:hint="eastAsia"/>
                <w:color w:val="auto"/>
                <w:sz w:val="18"/>
                <w:szCs w:val="18"/>
                <w:highlight w:val="none"/>
              </w:rPr>
              <w:t>分/</w:t>
            </w:r>
            <w:r>
              <w:rPr>
                <w:rFonts w:hint="eastAsia"/>
                <w:color w:val="auto"/>
                <w:sz w:val="18"/>
                <w:szCs w:val="18"/>
                <w:highlight w:val="none"/>
                <w:lang w:val="en-US" w:eastAsia="zh-CN"/>
              </w:rPr>
              <w:t>4</w:t>
            </w:r>
            <w:r>
              <w:rPr>
                <w:rFonts w:hint="eastAsia"/>
                <w:color w:val="auto"/>
                <w:sz w:val="18"/>
                <w:szCs w:val="18"/>
                <w:highlight w:val="none"/>
              </w:rPr>
              <w:t>分/</w:t>
            </w:r>
            <w:r>
              <w:rPr>
                <w:rFonts w:hint="eastAsia"/>
                <w:color w:val="auto"/>
                <w:sz w:val="18"/>
                <w:szCs w:val="18"/>
                <w:highlight w:val="none"/>
                <w:lang w:val="en-US" w:eastAsia="zh-CN"/>
              </w:rPr>
              <w:t>6</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3.3</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资产负债率</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rPr>
              <w:t>负债/总资产</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8</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≥0.8＜0.9或＜0.2/≥0.7＜0.8或≥0.2＜0.4/≥0.4＜0.7</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2</w:t>
            </w:r>
            <w:r>
              <w:rPr>
                <w:rFonts w:hint="eastAsia"/>
                <w:color w:val="auto"/>
                <w:sz w:val="18"/>
                <w:szCs w:val="18"/>
                <w:highlight w:val="none"/>
              </w:rPr>
              <w:t>分/</w:t>
            </w:r>
            <w:r>
              <w:rPr>
                <w:rFonts w:hint="eastAsia"/>
                <w:color w:val="auto"/>
                <w:sz w:val="18"/>
                <w:szCs w:val="18"/>
                <w:highlight w:val="none"/>
                <w:lang w:val="en-US" w:eastAsia="zh-CN"/>
              </w:rPr>
              <w:t>5</w:t>
            </w:r>
            <w:r>
              <w:rPr>
                <w:rFonts w:hint="eastAsia"/>
                <w:color w:val="auto"/>
                <w:sz w:val="18"/>
                <w:szCs w:val="18"/>
                <w:highlight w:val="none"/>
              </w:rPr>
              <w:t>分/</w:t>
            </w:r>
            <w:r>
              <w:rPr>
                <w:rFonts w:hint="eastAsia"/>
                <w:color w:val="auto"/>
                <w:sz w:val="18"/>
                <w:szCs w:val="18"/>
                <w:highlight w:val="none"/>
                <w:lang w:val="en-US" w:eastAsia="zh-CN"/>
              </w:rPr>
              <w:t>8</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eastAsia"/>
                <w:color w:val="auto"/>
                <w:sz w:val="18"/>
                <w:szCs w:val="18"/>
                <w:highlight w:val="none"/>
              </w:rPr>
            </w:pPr>
            <w:r>
              <w:rPr>
                <w:rFonts w:hint="eastAsia"/>
                <w:b/>
                <w:bCs/>
                <w:color w:val="auto"/>
                <w:sz w:val="24"/>
                <w:szCs w:val="24"/>
                <w:highlight w:val="none"/>
              </w:rPr>
              <w:t>四、信用积累（15分）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序号</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项目</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200" w:firstLineChars="95"/>
              <w:jc w:val="center"/>
              <w:rPr>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rPr>
              <w:t>内容</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分值</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考量内容或考量公式以及测算结果的积分范围</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评分标准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lang w:val="en-US" w:eastAsia="zh-CN"/>
              </w:rPr>
              <w:t>记录</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ascii="宋体" w:hAnsi="宋体" w:eastAsia="宋体" w:cs="宋体"/>
                <w:b/>
                <w:bCs/>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4.1</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信用等级</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171" w:firstLineChars="95"/>
              <w:jc w:val="center"/>
              <w:rPr>
                <w:color w:val="auto"/>
                <w:sz w:val="18"/>
                <w:szCs w:val="18"/>
                <w:highlight w:val="none"/>
              </w:rPr>
            </w:pPr>
            <w:r>
              <w:rPr>
                <w:rFonts w:hint="eastAsia"/>
                <w:color w:val="auto"/>
                <w:sz w:val="18"/>
                <w:szCs w:val="18"/>
                <w:highlight w:val="none"/>
              </w:rPr>
              <w:t>银行信用等级</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A/AA/AAA</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荣誉资质</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守合同重信用等级</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县级/市级/省级及以上</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4.3</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荣誉资质</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政府质量奖</w:t>
            </w:r>
            <w:r>
              <w:rPr>
                <w:rFonts w:hint="eastAsia"/>
                <w:color w:val="auto"/>
                <w:sz w:val="18"/>
                <w:szCs w:val="18"/>
                <w:highlight w:val="none"/>
                <w:lang w:eastAsia="zh-CN"/>
              </w:rPr>
              <w:t>、</w:t>
            </w:r>
            <w:r>
              <w:rPr>
                <w:rFonts w:hint="eastAsia"/>
                <w:color w:val="auto"/>
                <w:sz w:val="18"/>
                <w:szCs w:val="18"/>
                <w:highlight w:val="none"/>
                <w:lang w:val="en-US" w:eastAsia="zh-CN"/>
              </w:rPr>
              <w:t>知识产权强企等</w:t>
            </w:r>
            <w:r>
              <w:rPr>
                <w:rFonts w:hint="eastAsia"/>
                <w:color w:val="auto"/>
                <w:sz w:val="18"/>
                <w:szCs w:val="18"/>
                <w:highlight w:val="none"/>
              </w:rPr>
              <w:t>荣誉</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县级/市级/省级及以上</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4.4</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荣誉资质</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行业信用成果（相关荣誉、信用等级）</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rFonts w:hint="default" w:eastAsia="宋体"/>
                <w:color w:val="auto"/>
                <w:sz w:val="18"/>
                <w:szCs w:val="18"/>
                <w:highlight w:val="none"/>
                <w:lang w:val="en-US" w:eastAsia="zh-CN"/>
              </w:rPr>
            </w:pPr>
            <w:r>
              <w:rPr>
                <w:rFonts w:hint="eastAsia"/>
                <w:color w:val="auto"/>
                <w:sz w:val="18"/>
                <w:szCs w:val="18"/>
                <w:highlight w:val="none"/>
              </w:rPr>
              <w:t>县级</w:t>
            </w:r>
            <w:r>
              <w:rPr>
                <w:rFonts w:hint="eastAsia"/>
                <w:color w:val="auto"/>
                <w:sz w:val="18"/>
                <w:szCs w:val="18"/>
                <w:highlight w:val="none"/>
                <w:lang w:val="en-US" w:eastAsia="zh-CN"/>
              </w:rPr>
              <w:t>或A</w:t>
            </w:r>
            <w:r>
              <w:rPr>
                <w:rFonts w:hint="eastAsia"/>
                <w:color w:val="auto"/>
                <w:sz w:val="18"/>
                <w:szCs w:val="18"/>
                <w:highlight w:val="none"/>
              </w:rPr>
              <w:t>/市级</w:t>
            </w:r>
            <w:r>
              <w:rPr>
                <w:rFonts w:hint="eastAsia"/>
                <w:color w:val="auto"/>
                <w:sz w:val="18"/>
                <w:szCs w:val="18"/>
                <w:highlight w:val="none"/>
                <w:lang w:val="en-US" w:eastAsia="zh-CN"/>
              </w:rPr>
              <w:t>或AA</w:t>
            </w:r>
            <w:r>
              <w:rPr>
                <w:rFonts w:hint="eastAsia"/>
                <w:color w:val="auto"/>
                <w:sz w:val="18"/>
                <w:szCs w:val="18"/>
                <w:highlight w:val="none"/>
              </w:rPr>
              <w:t>/省级</w:t>
            </w:r>
            <w:r>
              <w:rPr>
                <w:rFonts w:hint="eastAsia"/>
                <w:color w:val="auto"/>
                <w:sz w:val="18"/>
                <w:szCs w:val="18"/>
                <w:highlight w:val="none"/>
                <w:lang w:val="en-US" w:eastAsia="zh-CN"/>
              </w:rPr>
              <w:t>或AAA及以上</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4.5</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其他荣誉</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171" w:firstLineChars="95"/>
              <w:jc w:val="center"/>
              <w:rPr>
                <w:color w:val="auto"/>
                <w:sz w:val="18"/>
                <w:szCs w:val="18"/>
                <w:highlight w:val="none"/>
              </w:rPr>
            </w:pPr>
            <w:r>
              <w:rPr>
                <w:rFonts w:hint="eastAsia"/>
                <w:color w:val="auto"/>
                <w:sz w:val="18"/>
                <w:szCs w:val="18"/>
                <w:highlight w:val="none"/>
              </w:rPr>
              <w:t>其他荣誉证明</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3</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县级/市级/省级及以上（含法定代表人所获荣誉）</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1分/2分/3分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3" w:type="dxa"/>
            <w:gridSpan w:val="15"/>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hint="eastAsia"/>
                <w:color w:val="auto"/>
                <w:sz w:val="18"/>
                <w:szCs w:val="18"/>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、加分项（10分）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序号</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项目</w:t>
            </w:r>
          </w:p>
        </w:tc>
        <w:tc>
          <w:tcPr>
            <w:tcW w:w="3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200" w:firstLineChars="95"/>
              <w:jc w:val="center"/>
              <w:rPr>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rPr>
              <w:t>内容</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分值</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考量内容或考量公式以及测算结果的积分范围</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b/>
                <w:bCs/>
                <w:color w:val="auto"/>
                <w:sz w:val="18"/>
                <w:szCs w:val="18"/>
                <w:highlight w:val="none"/>
              </w:rPr>
            </w:pPr>
            <w:r>
              <w:rPr>
                <w:rFonts w:hint="eastAsia" w:ascii="宋体" w:hAnsi="宋体" w:eastAsia="宋体" w:cs="宋体"/>
                <w:b/>
                <w:bCs/>
                <w:color w:val="auto"/>
                <w:sz w:val="21"/>
                <w:szCs w:val="21"/>
                <w:highlight w:val="none"/>
              </w:rPr>
              <w:t>评分标准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hAnsi="宋体" w:cs="宋体"/>
                <w:b/>
                <w:bCs/>
                <w:color w:val="auto"/>
                <w:sz w:val="21"/>
                <w:szCs w:val="21"/>
                <w:highlight w:val="none"/>
                <w:lang w:val="en-US" w:eastAsia="zh-CN"/>
              </w:rPr>
              <w:t>诊断</w:t>
            </w:r>
            <w:r>
              <w:rPr>
                <w:rFonts w:hint="eastAsia" w:ascii="宋体" w:hAnsi="宋体" w:eastAsia="宋体" w:cs="宋体"/>
                <w:b/>
                <w:bCs/>
                <w:color w:val="auto"/>
                <w:sz w:val="21"/>
                <w:szCs w:val="21"/>
                <w:highlight w:val="none"/>
                <w:lang w:val="en-US" w:eastAsia="zh-CN"/>
              </w:rPr>
              <w:t>记录</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b/>
                <w:bCs/>
                <w:color w:val="auto"/>
                <w:sz w:val="18"/>
                <w:szCs w:val="18"/>
                <w:highlight w:val="none"/>
              </w:rPr>
            </w:pPr>
            <w:r>
              <w:rPr>
                <w:rFonts w:hint="eastAsia" w:ascii="宋体" w:hAnsi="宋体" w:eastAsia="宋体" w:cs="宋体"/>
                <w:b/>
                <w:bCs/>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5</w:t>
            </w:r>
            <w:r>
              <w:rPr>
                <w:rFonts w:hint="eastAsia"/>
                <w:color w:val="auto"/>
                <w:sz w:val="18"/>
                <w:szCs w:val="18"/>
                <w:highlight w:val="none"/>
              </w:rPr>
              <w:t>.1</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社会责任</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公开发布ESG报告</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lang w:val="en-US" w:eastAsia="zh-CN"/>
              </w:rPr>
              <w:t>2</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color w:val="auto"/>
                <w:sz w:val="18"/>
                <w:szCs w:val="18"/>
                <w:highlight w:val="none"/>
              </w:rPr>
            </w:pPr>
            <w:r>
              <w:rPr>
                <w:rFonts w:hint="eastAsia"/>
                <w:color w:val="auto"/>
                <w:sz w:val="18"/>
                <w:szCs w:val="18"/>
                <w:highlight w:val="none"/>
              </w:rPr>
              <w:t>无/有</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2</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lang w:val="en-US" w:eastAsia="zh-CN"/>
              </w:rPr>
              <w:t>5.2</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default"/>
                <w:color w:val="auto"/>
                <w:sz w:val="18"/>
                <w:szCs w:val="18"/>
                <w:highlight w:val="none"/>
                <w:lang w:val="en-US"/>
              </w:rPr>
            </w:pPr>
            <w:r>
              <w:rPr>
                <w:rFonts w:hint="eastAsia"/>
                <w:color w:val="auto"/>
                <w:sz w:val="18"/>
                <w:szCs w:val="18"/>
                <w:highlight w:val="none"/>
                <w:lang w:val="en-US" w:eastAsia="zh-CN"/>
              </w:rPr>
              <w:t>创新发展</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rPr>
              <w:t>企业在技术研发、新产品开发等方面的投入和成果</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lang w:val="en-US" w:eastAsia="zh-CN"/>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rFonts w:hint="eastAsia"/>
                <w:color w:val="auto"/>
                <w:sz w:val="18"/>
                <w:szCs w:val="18"/>
                <w:highlight w:val="none"/>
              </w:rPr>
            </w:pPr>
            <w:r>
              <w:rPr>
                <w:rFonts w:hint="eastAsia"/>
                <w:color w:val="auto"/>
                <w:sz w:val="18"/>
                <w:szCs w:val="18"/>
                <w:highlight w:val="none"/>
              </w:rPr>
              <w:t>无/有</w:t>
            </w:r>
            <w:r>
              <w:rPr>
                <w:rFonts w:hint="eastAsia"/>
                <w:color w:val="auto"/>
                <w:sz w:val="18"/>
                <w:szCs w:val="18"/>
                <w:highlight w:val="none"/>
                <w:lang w:val="en-US" w:eastAsia="zh-CN"/>
              </w:rPr>
              <w:t>专利/有发明专利5项以上</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2分/4</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lang w:val="en-US" w:eastAsia="zh-CN"/>
              </w:rPr>
              <w:t>5.3</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lang w:val="en-US" w:eastAsia="zh-CN"/>
              </w:rPr>
              <w:t>第三方信用服务机构出具的报告</w:t>
            </w:r>
          </w:p>
        </w:tc>
        <w:tc>
          <w:tcPr>
            <w:tcW w:w="34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highlight w:val="none"/>
              </w:rPr>
            </w:pPr>
            <w:r>
              <w:rPr>
                <w:rFonts w:hint="eastAsia"/>
                <w:color w:val="auto"/>
                <w:sz w:val="18"/>
                <w:szCs w:val="18"/>
                <w:highlight w:val="none"/>
              </w:rPr>
              <w:t>由第三方信用服务机构出具的企业执行《企业诚信管理体系》（GB/T 31950）、《合规管理体系》（GB/T 35770）</w:t>
            </w:r>
            <w:r>
              <w:rPr>
                <w:rFonts w:hint="eastAsia"/>
                <w:color w:val="auto"/>
                <w:sz w:val="18"/>
                <w:szCs w:val="18"/>
                <w:highlight w:val="none"/>
                <w:lang w:eastAsia="zh-CN"/>
              </w:rPr>
              <w:t>、《</w:t>
            </w:r>
            <w:r>
              <w:rPr>
                <w:rFonts w:hint="eastAsia" w:ascii="宋体" w:hAnsi="宋体" w:eastAsia="宋体" w:cs="宋体"/>
                <w:color w:val="000000"/>
                <w:kern w:val="0"/>
                <w:sz w:val="20"/>
                <w:szCs w:val="20"/>
                <w:highlight w:val="none"/>
                <w:lang w:val="en-US" w:eastAsia="zh-CN" w:bidi="ar"/>
              </w:rPr>
              <w:t>社会责任管理体系</w:t>
            </w:r>
            <w:r>
              <w:rPr>
                <w:rFonts w:hint="eastAsia"/>
                <w:color w:val="auto"/>
                <w:sz w:val="18"/>
                <w:szCs w:val="18"/>
                <w:highlight w:val="none"/>
                <w:lang w:eastAsia="zh-CN"/>
              </w:rPr>
              <w:t>》（GB/T 39604）</w:t>
            </w:r>
          </w:p>
          <w:p>
            <w:pPr>
              <w:pStyle w:val="7"/>
              <w:ind w:firstLine="0" w:firstLineChars="0"/>
              <w:rPr>
                <w:rFonts w:hint="default" w:eastAsia="宋体"/>
                <w:color w:val="auto"/>
                <w:sz w:val="18"/>
                <w:szCs w:val="18"/>
                <w:highlight w:val="none"/>
                <w:lang w:val="en-US" w:eastAsia="zh-CN"/>
              </w:rPr>
            </w:pPr>
            <w:r>
              <w:rPr>
                <w:rFonts w:hint="eastAsia"/>
                <w:color w:val="auto"/>
                <w:sz w:val="18"/>
                <w:szCs w:val="18"/>
                <w:highlight w:val="none"/>
              </w:rPr>
              <w:t>的评估报告</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lang w:val="en-US" w:eastAsia="zh-CN"/>
              </w:rPr>
              <w:t>4</w:t>
            </w:r>
          </w:p>
        </w:tc>
        <w:tc>
          <w:tcPr>
            <w:tcW w:w="3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left"/>
              <w:rPr>
                <w:rFonts w:hint="default" w:eastAsia="宋体"/>
                <w:color w:val="auto"/>
                <w:sz w:val="18"/>
                <w:szCs w:val="18"/>
                <w:highlight w:val="none"/>
                <w:lang w:val="en-US" w:eastAsia="zh-CN"/>
              </w:rPr>
            </w:pPr>
            <w:r>
              <w:rPr>
                <w:rFonts w:hint="eastAsia"/>
                <w:color w:val="auto"/>
                <w:sz w:val="18"/>
                <w:szCs w:val="18"/>
                <w:highlight w:val="none"/>
              </w:rPr>
              <w:t>无/有</w:t>
            </w:r>
            <w:r>
              <w:rPr>
                <w:rFonts w:hint="eastAsia"/>
                <w:color w:val="auto"/>
                <w:sz w:val="18"/>
                <w:szCs w:val="18"/>
                <w:highlight w:val="none"/>
                <w:lang w:val="en-US" w:eastAsia="zh-CN"/>
              </w:rPr>
              <w:t>/2项及以上</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r>
              <w:rPr>
                <w:rFonts w:hint="eastAsia"/>
                <w:color w:val="auto"/>
                <w:sz w:val="18"/>
                <w:szCs w:val="18"/>
                <w:highlight w:val="none"/>
              </w:rPr>
              <w:t>0分/</w:t>
            </w:r>
            <w:r>
              <w:rPr>
                <w:rFonts w:hint="eastAsia"/>
                <w:color w:val="auto"/>
                <w:sz w:val="18"/>
                <w:szCs w:val="18"/>
                <w:highlight w:val="none"/>
                <w:lang w:val="en-US" w:eastAsia="zh-CN"/>
              </w:rPr>
              <w:t>2分/4</w:t>
            </w:r>
            <w:r>
              <w:rPr>
                <w:rFonts w:hint="eastAsia"/>
                <w:color w:val="auto"/>
                <w:sz w:val="18"/>
                <w:szCs w:val="18"/>
                <w:highlight w:val="none"/>
              </w:rPr>
              <w:t>分</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ind w:firstLine="0" w:firstLineChars="0"/>
              <w:jc w:val="center"/>
              <w:rPr>
                <w:rFonts w:hint="eastAsia"/>
                <w:color w:val="auto"/>
                <w:sz w:val="18"/>
                <w:szCs w:val="18"/>
                <w:highlight w:val="none"/>
              </w:rPr>
            </w:pPr>
          </w:p>
        </w:tc>
      </w:tr>
    </w:tbl>
    <w:p>
      <w:pPr>
        <w:rPr>
          <w:rFonts w:hint="eastAsia"/>
        </w:rPr>
      </w:pPr>
    </w:p>
    <w:sectPr>
      <w:pgSz w:w="16838" w:h="11906" w:orient="landscape"/>
      <w:pgMar w:top="1236" w:right="1100" w:bottom="1236"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2NkMTZjNGUxNTcwNWEzMWUzMmViZDMxN2QwZGQifQ=="/>
  </w:docVars>
  <w:rsids>
    <w:rsidRoot w:val="280F5FFA"/>
    <w:rsid w:val="00381040"/>
    <w:rsid w:val="01392031"/>
    <w:rsid w:val="04191DC4"/>
    <w:rsid w:val="05631FF8"/>
    <w:rsid w:val="0E591B95"/>
    <w:rsid w:val="11A97F82"/>
    <w:rsid w:val="12696E37"/>
    <w:rsid w:val="16B257EE"/>
    <w:rsid w:val="18DA046F"/>
    <w:rsid w:val="2252514D"/>
    <w:rsid w:val="227C5F12"/>
    <w:rsid w:val="234963E3"/>
    <w:rsid w:val="26285B88"/>
    <w:rsid w:val="280F5FFA"/>
    <w:rsid w:val="28941161"/>
    <w:rsid w:val="310073A4"/>
    <w:rsid w:val="3C9012E0"/>
    <w:rsid w:val="4A5B2B9B"/>
    <w:rsid w:val="4B86222C"/>
    <w:rsid w:val="504761F7"/>
    <w:rsid w:val="53513120"/>
    <w:rsid w:val="56D15FBF"/>
    <w:rsid w:val="5F8B104E"/>
    <w:rsid w:val="62DF51F3"/>
    <w:rsid w:val="66301D9A"/>
    <w:rsid w:val="66E63727"/>
    <w:rsid w:val="6CAD7E0F"/>
    <w:rsid w:val="75F1528A"/>
    <w:rsid w:val="BBB7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2460</Words>
  <Characters>2713</Characters>
  <Lines>0</Lines>
  <Paragraphs>0</Paragraphs>
  <TotalTime>28</TotalTime>
  <ScaleCrop>false</ScaleCrop>
  <LinksUpToDate>false</LinksUpToDate>
  <CharactersWithSpaces>2730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2025-07-01T09:51:00Z</dcterms:created>
  <dc:creator>苏苏</dc:creator>
  <cp:lastModifiedBy>user</cp:lastModifiedBy>
  <dcterms:modified xsi:type="dcterms:W3CDTF">2026-06-29T15:04:28Z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5DB2892D2DF94F49A0012DC05A8D5A42_13</vt:lpwstr>
  </property>
  <property fmtid="{D5CDD505-2E9C-101B-9397-08002B2CF9AE}" pid="4" name="KSOTemplateDocerSaveRecord">
    <vt:lpwstr>eyJoZGlkIjoiYjkyZmNhZmMwYTRkMzdjNDc0ZDBiODA4ZTNmNjg2YzYiLCJ1c2VySWQiOiIxNTgxNTgyNTAwIn0=</vt:lpwstr>
  </property>
</Properties>
</file>