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533" w:rsidRDefault="00635533" w:rsidP="00635533">
      <w:pPr>
        <w:widowControl/>
        <w:spacing w:before="100" w:beforeAutospacing="1"/>
        <w:jc w:val="center"/>
        <w:textAlignment w:val="baseline"/>
        <w:outlineLvl w:val="0"/>
        <w:rPr>
          <w:rFonts w:ascii="Times New Roman" w:eastAsia="方正小标宋简体" w:hAnsi="Times New Roman" w:cs="方正小标宋简体"/>
          <w:kern w:val="0"/>
          <w:sz w:val="44"/>
          <w:szCs w:val="44"/>
          <w:lang w:bidi="ar"/>
        </w:rPr>
      </w:pPr>
      <w:bookmarkStart w:id="0" w:name="_GoBack"/>
      <w:r>
        <w:rPr>
          <w:rFonts w:ascii="Times New Roman" w:eastAsia="方正小标宋简体" w:hAnsi="Times New Roman" w:cs="方正小标宋简体"/>
          <w:kern w:val="0"/>
          <w:sz w:val="44"/>
          <w:szCs w:val="44"/>
          <w:lang w:bidi="ar"/>
        </w:rPr>
        <w:t>企业创新全过程知识产权管理指引</w:t>
      </w:r>
      <w:bookmarkEnd w:id="0"/>
    </w:p>
    <w:p w:rsidR="00635533" w:rsidRDefault="00635533" w:rsidP="00635533">
      <w:pPr>
        <w:spacing w:line="560" w:lineRule="exact"/>
        <w:jc w:val="center"/>
        <w:outlineLvl w:val="0"/>
        <w:rPr>
          <w:rFonts w:ascii="Times New Roman" w:eastAsia="黑体" w:hAnsi="Times New Roman" w:cs="黑体" w:hint="eastAsia"/>
          <w:sz w:val="32"/>
          <w:szCs w:val="32"/>
        </w:rPr>
      </w:pPr>
    </w:p>
    <w:p w:rsidR="00635533" w:rsidRDefault="00635533" w:rsidP="00635533">
      <w:pPr>
        <w:spacing w:line="560" w:lineRule="exact"/>
        <w:jc w:val="center"/>
        <w:outlineLvl w:val="0"/>
        <w:rPr>
          <w:rFonts w:ascii="Times New Roman" w:eastAsia="黑体" w:hAnsi="Times New Roman" w:cs="黑体" w:hint="eastAsia"/>
          <w:sz w:val="32"/>
          <w:szCs w:val="32"/>
        </w:rPr>
      </w:pPr>
      <w:r>
        <w:rPr>
          <w:rFonts w:ascii="Times New Roman" w:eastAsia="黑体" w:hAnsi="Times New Roman" w:cs="黑体" w:hint="eastAsia"/>
          <w:sz w:val="32"/>
          <w:szCs w:val="32"/>
        </w:rPr>
        <w:t>第一章</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总则</w:t>
      </w:r>
    </w:p>
    <w:p w:rsidR="00635533" w:rsidRDefault="00635533" w:rsidP="00635533">
      <w:pPr>
        <w:spacing w:line="580" w:lineRule="exact"/>
        <w:ind w:firstLineChars="200" w:firstLine="640"/>
        <w:jc w:val="left"/>
        <w:outlineLvl w:val="2"/>
        <w:rPr>
          <w:rFonts w:ascii="Times New Roman" w:eastAsia="黑体" w:hAnsi="Times New Roman" w:cs="黑体" w:hint="eastAsia"/>
          <w:sz w:val="32"/>
          <w:szCs w:val="32"/>
        </w:rPr>
      </w:pPr>
      <w:r>
        <w:rPr>
          <w:rFonts w:ascii="Times New Roman" w:eastAsia="黑体" w:hAnsi="Times New Roman" w:cs="黑体"/>
          <w:sz w:val="32"/>
          <w:szCs w:val="32"/>
        </w:rPr>
        <w:t>第一条</w:t>
      </w:r>
      <w:r>
        <w:rPr>
          <w:rFonts w:ascii="Times New Roman" w:eastAsia="黑体" w:hAnsi="Times New Roman" w:cs="黑体" w:hint="eastAsia"/>
          <w:sz w:val="32"/>
          <w:szCs w:val="32"/>
        </w:rPr>
        <w:t xml:space="preserve"> </w:t>
      </w:r>
      <w:r>
        <w:rPr>
          <w:rFonts w:ascii="Times New Roman" w:eastAsia="黑体" w:hAnsi="Times New Roman" w:cs="黑体"/>
          <w:sz w:val="32"/>
          <w:szCs w:val="32"/>
        </w:rPr>
        <w:t>目的与依据</w:t>
      </w:r>
    </w:p>
    <w:p w:rsidR="00635533" w:rsidRDefault="00635533" w:rsidP="00635533">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为引导企业建立覆盖创新全过程的知识产权管理体系，明确各阶段知识产权管理目标与任务，有效识别、创造、保护、运用和管理专利、商标、著作权、商业秘密等各类知识产权，支撑创新价值实现，依据《中华人民共和国民法典》《中华人民共和国专利法》《中华人民共和国商标法》《中华人民共和国著作权法》《中华人民共和国反不正当竞争法》等法律法规及相关国家政策，制定本指引。</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第二条</w:t>
      </w:r>
      <w:r>
        <w:rPr>
          <w:rFonts w:ascii="Times New Roman" w:eastAsia="黑体" w:hAnsi="Times New Roman" w:cs="黑体"/>
          <w:sz w:val="32"/>
          <w:szCs w:val="32"/>
        </w:rPr>
        <w:t xml:space="preserve"> </w:t>
      </w:r>
      <w:r>
        <w:rPr>
          <w:rFonts w:ascii="Times New Roman" w:eastAsia="黑体" w:hAnsi="Times New Roman" w:cs="黑体"/>
          <w:sz w:val="32"/>
          <w:szCs w:val="32"/>
        </w:rPr>
        <w:t>适用范围</w:t>
      </w:r>
    </w:p>
    <w:p w:rsidR="00635533" w:rsidRDefault="00635533" w:rsidP="00635533">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本指引适用于不同规模、类型的企业在开展系统性创新活动时的专利、商标、著作权、商业秘密等知识产权管理，中小企业可参照执行。</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第三条</w:t>
      </w:r>
      <w:r>
        <w:rPr>
          <w:rFonts w:ascii="Times New Roman" w:eastAsia="黑体" w:hAnsi="Times New Roman" w:cs="黑体"/>
          <w:sz w:val="32"/>
          <w:szCs w:val="32"/>
        </w:rPr>
        <w:t xml:space="preserve"> </w:t>
      </w:r>
      <w:r>
        <w:rPr>
          <w:rFonts w:ascii="Times New Roman" w:eastAsia="黑体" w:hAnsi="Times New Roman" w:cs="黑体"/>
          <w:sz w:val="32"/>
          <w:szCs w:val="32"/>
        </w:rPr>
        <w:t>基本原则</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企业开展创新全过程知识产权管理应遵循以下原则：</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战略协同原则：知识产权战略应与企业的整体业务战略、创新战略保持一致</w:t>
      </w:r>
      <w:r>
        <w:rPr>
          <w:rFonts w:ascii="Times New Roman" w:eastAsia="仿宋_GB2312" w:hAnsi="Times New Roman" w:hint="eastAsia"/>
          <w:sz w:val="32"/>
          <w:szCs w:val="32"/>
        </w:rPr>
        <w:t>，统筹布局专利、商标、著作权、商业秘密等各类知识产权资产。</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全程嵌入原则：知识产权管理应系统性地嵌入从机会识别到方案部署的各个创新阶段</w:t>
      </w:r>
      <w:r>
        <w:rPr>
          <w:rFonts w:ascii="Times New Roman" w:eastAsia="仿宋_GB2312" w:hAnsi="Times New Roman" w:hint="eastAsia"/>
          <w:sz w:val="32"/>
          <w:szCs w:val="32"/>
        </w:rPr>
        <w:t>，实现专利、商标、著作权、商业秘密</w:t>
      </w:r>
      <w:r>
        <w:rPr>
          <w:rFonts w:ascii="Times New Roman" w:eastAsia="仿宋_GB2312" w:hAnsi="Times New Roman"/>
          <w:sz w:val="32"/>
          <w:szCs w:val="32"/>
        </w:rPr>
        <w:t>等知识产权</w:t>
      </w:r>
      <w:r>
        <w:rPr>
          <w:rFonts w:ascii="Times New Roman" w:eastAsia="仿宋_GB2312" w:hAnsi="Times New Roman" w:hint="eastAsia"/>
          <w:sz w:val="32"/>
          <w:szCs w:val="32"/>
        </w:rPr>
        <w:t>的全品类、全流程管理。</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3.</w:t>
      </w:r>
      <w:r>
        <w:rPr>
          <w:rFonts w:ascii="Times New Roman" w:eastAsia="仿宋_GB2312" w:hAnsi="Times New Roman"/>
          <w:sz w:val="32"/>
          <w:szCs w:val="32"/>
        </w:rPr>
        <w:t>风险防控原则：应主动识别、评估和管理各阶段的知识产权风险，保障创新自由与安全。</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价值导向原则：知识产权管理应以实现和提升创新成果的商业价值与竞争价值为核心目标</w:t>
      </w:r>
      <w:r>
        <w:rPr>
          <w:rFonts w:ascii="Times New Roman" w:eastAsia="仿宋_GB2312" w:hAnsi="Times New Roman" w:hint="eastAsia"/>
          <w:sz w:val="32"/>
          <w:szCs w:val="32"/>
        </w:rPr>
        <w:t>，推动专利、商标、著作权、商业秘密</w:t>
      </w:r>
      <w:r>
        <w:rPr>
          <w:rFonts w:ascii="Times New Roman" w:eastAsia="仿宋_GB2312" w:hAnsi="Times New Roman"/>
          <w:sz w:val="32"/>
          <w:szCs w:val="32"/>
        </w:rPr>
        <w:t>等知识产权</w:t>
      </w:r>
      <w:r>
        <w:rPr>
          <w:rFonts w:ascii="Times New Roman" w:eastAsia="仿宋_GB2312" w:hAnsi="Times New Roman" w:hint="eastAsia"/>
          <w:sz w:val="32"/>
          <w:szCs w:val="32"/>
        </w:rPr>
        <w:t>的协同运营与价值转化。</w:t>
      </w:r>
    </w:p>
    <w:p w:rsidR="00635533" w:rsidRDefault="00635533" w:rsidP="00635533">
      <w:pPr>
        <w:spacing w:line="580" w:lineRule="exact"/>
        <w:jc w:val="center"/>
        <w:rPr>
          <w:rFonts w:ascii="Times New Roman" w:eastAsia="黑体" w:hAnsi="Times New Roman" w:cs="黑体" w:hint="eastAsia"/>
          <w:sz w:val="32"/>
          <w:szCs w:val="32"/>
        </w:rPr>
      </w:pPr>
    </w:p>
    <w:p w:rsidR="00635533" w:rsidRDefault="00635533" w:rsidP="00635533">
      <w:pPr>
        <w:spacing w:line="580" w:lineRule="exact"/>
        <w:jc w:val="center"/>
        <w:outlineLvl w:val="0"/>
        <w:rPr>
          <w:rFonts w:ascii="Times New Roman" w:eastAsia="黑体" w:hAnsi="Times New Roman" w:cs="黑体" w:hint="eastAsia"/>
          <w:sz w:val="32"/>
          <w:szCs w:val="32"/>
        </w:rPr>
      </w:pPr>
      <w:r>
        <w:rPr>
          <w:rFonts w:ascii="Times New Roman" w:eastAsia="黑体" w:hAnsi="Times New Roman" w:cs="黑体" w:hint="eastAsia"/>
          <w:sz w:val="32"/>
          <w:szCs w:val="32"/>
        </w:rPr>
        <w:t>第二章</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创新各阶段知识产权管理要点</w:t>
      </w:r>
    </w:p>
    <w:p w:rsidR="00635533" w:rsidRDefault="00635533" w:rsidP="00635533">
      <w:pPr>
        <w:spacing w:line="580" w:lineRule="exact"/>
        <w:jc w:val="center"/>
        <w:outlineLvl w:val="1"/>
        <w:rPr>
          <w:rFonts w:ascii="Times New Roman" w:eastAsia="楷体_GB2312" w:hAnsi="Times New Roman" w:cs="楷体_GB2312" w:hint="eastAsia"/>
          <w:sz w:val="32"/>
          <w:szCs w:val="32"/>
        </w:rPr>
      </w:pPr>
      <w:r>
        <w:rPr>
          <w:rFonts w:ascii="Times New Roman" w:eastAsia="楷体_GB2312" w:hAnsi="Times New Roman" w:cs="楷体_GB2312" w:hint="eastAsia"/>
          <w:sz w:val="32"/>
          <w:szCs w:val="32"/>
        </w:rPr>
        <w:t>第一节</w:t>
      </w:r>
      <w:r>
        <w:rPr>
          <w:rFonts w:ascii="Times New Roman" w:eastAsia="楷体_GB2312" w:hAnsi="Times New Roman" w:cs="楷体_GB2312" w:hint="eastAsia"/>
          <w:sz w:val="32"/>
          <w:szCs w:val="32"/>
        </w:rPr>
        <w:t xml:space="preserve"> </w:t>
      </w:r>
      <w:r>
        <w:rPr>
          <w:rFonts w:ascii="Times New Roman" w:eastAsia="楷体_GB2312" w:hAnsi="Times New Roman" w:cs="楷体_GB2312" w:hint="eastAsia"/>
          <w:sz w:val="32"/>
          <w:szCs w:val="32"/>
        </w:rPr>
        <w:t>识别机会阶段</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第四条</w:t>
      </w:r>
      <w:r>
        <w:rPr>
          <w:rFonts w:ascii="Times New Roman" w:eastAsia="黑体" w:hAnsi="Times New Roman" w:cs="黑体"/>
          <w:sz w:val="32"/>
          <w:szCs w:val="32"/>
        </w:rPr>
        <w:t xml:space="preserve"> </w:t>
      </w:r>
      <w:r>
        <w:rPr>
          <w:rFonts w:ascii="Times New Roman" w:eastAsia="黑体" w:hAnsi="Times New Roman" w:cs="黑体"/>
          <w:sz w:val="32"/>
          <w:szCs w:val="32"/>
        </w:rPr>
        <w:t>管理目标</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识别具有潜在价值的创新机会，</w:t>
      </w:r>
      <w:r>
        <w:rPr>
          <w:rFonts w:ascii="Times New Roman" w:eastAsia="仿宋_GB2312" w:hAnsi="Times New Roman" w:hint="eastAsia"/>
          <w:sz w:val="32"/>
          <w:szCs w:val="32"/>
        </w:rPr>
        <w:t>初步明确技术、品牌、作品创作等领域的专利、商标、著作权、商业秘密</w:t>
      </w:r>
      <w:r>
        <w:rPr>
          <w:rFonts w:ascii="Times New Roman" w:eastAsia="仿宋_GB2312" w:hAnsi="Times New Roman"/>
          <w:sz w:val="32"/>
          <w:szCs w:val="32"/>
        </w:rPr>
        <w:t>等知识产权</w:t>
      </w:r>
      <w:r>
        <w:rPr>
          <w:rFonts w:ascii="Times New Roman" w:eastAsia="仿宋_GB2312" w:hAnsi="Times New Roman" w:hint="eastAsia"/>
          <w:sz w:val="32"/>
          <w:szCs w:val="32"/>
        </w:rPr>
        <w:t>现状、竞争格局及自身差距，为创新方向决策提供依据。</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第五条</w:t>
      </w:r>
      <w:r>
        <w:rPr>
          <w:rFonts w:ascii="Times New Roman" w:eastAsia="黑体" w:hAnsi="Times New Roman" w:cs="黑体"/>
          <w:sz w:val="32"/>
          <w:szCs w:val="32"/>
        </w:rPr>
        <w:t xml:space="preserve"> </w:t>
      </w:r>
      <w:r>
        <w:rPr>
          <w:rFonts w:ascii="Times New Roman" w:eastAsia="黑体" w:hAnsi="Times New Roman" w:cs="黑体"/>
          <w:sz w:val="32"/>
          <w:szCs w:val="32"/>
        </w:rPr>
        <w:t>主要任务</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开展情报分析：应用专利导航、知识产权全景分析等工具，检索分析目标技术领域的专利、论文，目标市场的商标布局、著作权登记，以及行业内商业秘密保护态势等公开信息，掌握技术发展趋势、品牌竞争格局、作品创作方向、主要竞争者及其全品类知识产权布局。</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识别机会与空白：结合分析结果，识别未被有效知识产权覆盖的技术空白点、品牌布局盲区、作品创作新方向、技术改进机会或潜在的市场需求领域，挖掘商业秘密密点与保护的潜在切入点。</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评估自身能力与差距：梳理企业现有专利、商标、著作权、商业秘密等知识产权资产，评估与目标机会相关的技术</w:t>
      </w:r>
      <w:r>
        <w:rPr>
          <w:rFonts w:ascii="Times New Roman" w:eastAsia="仿宋_GB2312" w:hAnsi="Times New Roman" w:hint="eastAsia"/>
          <w:sz w:val="32"/>
          <w:szCs w:val="32"/>
        </w:rPr>
        <w:lastRenderedPageBreak/>
        <w:t>能力、品牌运营能力、创作能力和各类知识产权储备的差距。</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强化跨部门协同：建立知识产权、研发、市场、品牌、创作等人员常态化沟通机制，确保信息共享与需求精准对接。创新过程中的关键知识产权决策宜由多部门共同参与。</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优化创意管理：创意捕获方式多元化，涵盖技术研发、品牌设计、作品创作等各类创新创意，并对识别的潜在创新机会进行分类及优先排序。</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创意管理与证据留存：建立创意提交与记录机制，妥善保存技术创意、品牌创意、作品创意的来源、形成时间、核心内容及贡献人员等信息，有条件的可通过区块链存证、公证等方式加强溯源管理，作为潜在的专利、著作权、商标权属及商业秘密</w:t>
      </w:r>
      <w:r>
        <w:rPr>
          <w:rFonts w:ascii="Times New Roman" w:eastAsia="仿宋_GB2312" w:hAnsi="Times New Roman"/>
          <w:sz w:val="32"/>
          <w:szCs w:val="32"/>
        </w:rPr>
        <w:t>等知识产权</w:t>
      </w:r>
      <w:r>
        <w:rPr>
          <w:rFonts w:ascii="Times New Roman" w:eastAsia="仿宋_GB2312" w:hAnsi="Times New Roman" w:hint="eastAsia"/>
          <w:sz w:val="32"/>
          <w:szCs w:val="32"/>
        </w:rPr>
        <w:t>归属的证据。</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第六条</w:t>
      </w:r>
      <w:r>
        <w:rPr>
          <w:rFonts w:ascii="Times New Roman" w:eastAsia="黑体" w:hAnsi="Times New Roman" w:cs="黑体"/>
          <w:sz w:val="32"/>
          <w:szCs w:val="32"/>
        </w:rPr>
        <w:t xml:space="preserve"> </w:t>
      </w:r>
      <w:r>
        <w:rPr>
          <w:rFonts w:ascii="Times New Roman" w:eastAsia="黑体" w:hAnsi="Times New Roman" w:cs="黑体"/>
          <w:sz w:val="32"/>
          <w:szCs w:val="32"/>
        </w:rPr>
        <w:t>常用工具与方法</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专利信息检索与分析数据库：整合全球专利文献与数据资源，支持专利查新、竞品分析与技术趋势研判，为创新决策提供数据支撑。</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商标检索数据库：覆盖国内外商标注册信息，支持商标近似查询、类别布局分析、竞品品牌检索，为品牌创意与布局提供依据。</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著作权登记信息查询平台：查询相关作品著作权登记情况，分析作品创作趋势与竞品创作布局。</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技术功效矩阵分析：关联技术方案与实际应用功效，可视化呈现技术研发布局与空白点，助力精准挖掘创新方向、提升研发效率。</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lastRenderedPageBreak/>
        <w:t>5.</w:t>
      </w:r>
      <w:r>
        <w:rPr>
          <w:rFonts w:ascii="Times New Roman" w:eastAsia="仿宋_GB2312" w:hAnsi="Times New Roman" w:hint="eastAsia"/>
          <w:sz w:val="32"/>
          <w:szCs w:val="32"/>
        </w:rPr>
        <w:t>知识产权导航（参照</w:t>
      </w:r>
      <w:r>
        <w:rPr>
          <w:rFonts w:ascii="Times New Roman" w:eastAsia="仿宋_GB2312" w:hAnsi="Times New Roman" w:hint="eastAsia"/>
          <w:sz w:val="32"/>
          <w:szCs w:val="32"/>
        </w:rPr>
        <w:t xml:space="preserve"> GB/T 39551</w:t>
      </w:r>
      <w:r>
        <w:rPr>
          <w:rFonts w:ascii="Times New Roman" w:eastAsia="仿宋_GB2312" w:hAnsi="Times New Roman" w:hint="eastAsia"/>
          <w:sz w:val="32"/>
          <w:szCs w:val="32"/>
        </w:rPr>
        <w:t>系列标准）：依据国家标准构建的系统化工具，整合专利、商标、著作权等信息，为产业规划、企业研发、品牌布局与专利布局提供路径指引，规避知识产权风险。</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创意管理平台或记录表单：规范化收集、存储与管理研发、品牌、作品创作过程中的创意点子，区分可公开保护与需保密保护的创意，避免创新灵感流失，支撑创意的筛选、评估与转化落地。</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“数知通”平台：数据知识产权登记公示、公告信息的查询核验，数据知识产权变更备案、交易许可、增信融资、保险等业务归集及在线办理服务，为企业数据创新成果的利用和保护提供一站式公共服务。</w:t>
      </w:r>
    </w:p>
    <w:p w:rsidR="00635533" w:rsidRDefault="00635533" w:rsidP="00635533">
      <w:pPr>
        <w:spacing w:line="580" w:lineRule="exact"/>
        <w:ind w:firstLineChars="200" w:firstLine="640"/>
        <w:rPr>
          <w:rFonts w:ascii="Times New Roman" w:eastAsia="仿宋_GB2312" w:hAnsi="Times New Roman" w:hint="eastAsia"/>
          <w:sz w:val="32"/>
          <w:szCs w:val="32"/>
        </w:rPr>
      </w:pPr>
    </w:p>
    <w:p w:rsidR="00635533" w:rsidRDefault="00635533" w:rsidP="00635533">
      <w:pPr>
        <w:spacing w:line="580" w:lineRule="exact"/>
        <w:jc w:val="center"/>
        <w:outlineLvl w:val="1"/>
        <w:rPr>
          <w:rFonts w:ascii="Times New Roman" w:eastAsia="楷体_GB2312" w:hAnsi="Times New Roman" w:cs="楷体_GB2312"/>
          <w:sz w:val="32"/>
          <w:szCs w:val="32"/>
        </w:rPr>
      </w:pPr>
      <w:r>
        <w:rPr>
          <w:rFonts w:ascii="Times New Roman" w:eastAsia="楷体_GB2312" w:hAnsi="Times New Roman" w:cs="楷体_GB2312"/>
          <w:sz w:val="32"/>
          <w:szCs w:val="32"/>
        </w:rPr>
        <w:t>第二节</w:t>
      </w:r>
      <w:r>
        <w:rPr>
          <w:rFonts w:ascii="Times New Roman" w:eastAsia="楷体_GB2312" w:hAnsi="Times New Roman" w:cs="楷体_GB2312"/>
          <w:sz w:val="32"/>
          <w:szCs w:val="32"/>
        </w:rPr>
        <w:t xml:space="preserve"> </w:t>
      </w:r>
      <w:r>
        <w:rPr>
          <w:rFonts w:ascii="Times New Roman" w:eastAsia="楷体_GB2312" w:hAnsi="Times New Roman" w:cs="楷体_GB2312"/>
          <w:sz w:val="32"/>
          <w:szCs w:val="32"/>
        </w:rPr>
        <w:t>创建概念阶段</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第七条</w:t>
      </w:r>
      <w:r>
        <w:rPr>
          <w:rFonts w:ascii="Times New Roman" w:eastAsia="黑体" w:hAnsi="Times New Roman" w:cs="黑体"/>
          <w:sz w:val="32"/>
          <w:szCs w:val="32"/>
        </w:rPr>
        <w:t xml:space="preserve"> </w:t>
      </w:r>
      <w:r>
        <w:rPr>
          <w:rFonts w:ascii="Times New Roman" w:eastAsia="黑体" w:hAnsi="Times New Roman" w:cs="黑体"/>
          <w:sz w:val="32"/>
          <w:szCs w:val="32"/>
        </w:rPr>
        <w:t>管理目标</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围绕筛选出的技术、品牌、创作等创意形成具体、可验证的技术概念、品牌概念、作品创作概念，初步规划其专利、商标、著作权、商业秘密等知识产权保护策略，评估各类概念的可实施性与可保护性。</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第八条</w:t>
      </w:r>
      <w:r>
        <w:rPr>
          <w:rFonts w:ascii="Times New Roman" w:eastAsia="黑体" w:hAnsi="Times New Roman" w:cs="黑体"/>
          <w:sz w:val="32"/>
          <w:szCs w:val="32"/>
        </w:rPr>
        <w:t xml:space="preserve"> </w:t>
      </w:r>
      <w:r>
        <w:rPr>
          <w:rFonts w:ascii="Times New Roman" w:eastAsia="黑体" w:hAnsi="Times New Roman" w:cs="黑体"/>
          <w:sz w:val="32"/>
          <w:szCs w:val="32"/>
        </w:rPr>
        <w:t>主要任务</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前置内部审查：审查企业内部知识产权记录</w:t>
      </w:r>
      <w:r>
        <w:rPr>
          <w:rFonts w:ascii="Times New Roman" w:eastAsia="仿宋_GB2312" w:hAnsi="Times New Roman" w:hint="eastAsia"/>
          <w:sz w:val="32"/>
          <w:szCs w:val="32"/>
        </w:rPr>
        <w:t>/</w:t>
      </w:r>
      <w:r>
        <w:rPr>
          <w:rFonts w:ascii="Times New Roman" w:eastAsia="仿宋_GB2312" w:hAnsi="Times New Roman" w:hint="eastAsia"/>
          <w:sz w:val="32"/>
          <w:szCs w:val="32"/>
        </w:rPr>
        <w:t>数据库，梳理现有专利、商标、著作权、商业秘密</w:t>
      </w:r>
      <w:r>
        <w:rPr>
          <w:rFonts w:ascii="Times New Roman" w:eastAsia="仿宋_GB2312" w:hAnsi="Times New Roman"/>
          <w:sz w:val="32"/>
          <w:szCs w:val="32"/>
        </w:rPr>
        <w:t>等知识产权</w:t>
      </w:r>
      <w:r>
        <w:rPr>
          <w:rFonts w:ascii="Times New Roman" w:eastAsia="仿宋_GB2312" w:hAnsi="Times New Roman" w:hint="eastAsia"/>
          <w:sz w:val="32"/>
          <w:szCs w:val="32"/>
        </w:rPr>
        <w:t>信息，以获取与技术概念、品牌概念、创作概念创建相关的现有知识产权。</w:t>
      </w:r>
    </w:p>
    <w:p w:rsidR="00635533" w:rsidRDefault="00635533" w:rsidP="00635533">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lastRenderedPageBreak/>
        <w:t>2.</w:t>
      </w:r>
      <w:r>
        <w:rPr>
          <w:rFonts w:ascii="Times New Roman" w:eastAsia="仿宋_GB2312" w:hAnsi="Times New Roman"/>
          <w:sz w:val="32"/>
          <w:szCs w:val="32"/>
        </w:rPr>
        <w:t>新颖性与风险评估：对形成的技术概念进行专利性检索和自由实施（</w:t>
      </w:r>
      <w:r>
        <w:rPr>
          <w:rFonts w:ascii="Times New Roman" w:eastAsia="仿宋_GB2312" w:hAnsi="Times New Roman"/>
          <w:sz w:val="32"/>
          <w:szCs w:val="32"/>
        </w:rPr>
        <w:t>FTO</w:t>
      </w:r>
      <w:r>
        <w:rPr>
          <w:rFonts w:ascii="Times New Roman" w:eastAsia="仿宋_GB2312" w:hAnsi="Times New Roman"/>
          <w:sz w:val="32"/>
          <w:szCs w:val="32"/>
        </w:rPr>
        <w:t>）初步分析，评估其新颖性、创造性及潜在的侵权风险</w:t>
      </w:r>
      <w:r>
        <w:rPr>
          <w:rFonts w:ascii="Times New Roman" w:eastAsia="仿宋_GB2312" w:hAnsi="Times New Roman" w:hint="eastAsia"/>
          <w:sz w:val="32"/>
          <w:szCs w:val="32"/>
        </w:rPr>
        <w:t>；</w:t>
      </w:r>
      <w:r>
        <w:rPr>
          <w:rFonts w:ascii="Times New Roman" w:eastAsia="仿宋_GB2312" w:hAnsi="Times New Roman"/>
          <w:sz w:val="32"/>
          <w:szCs w:val="32"/>
        </w:rPr>
        <w:t>对品牌概念进行商标近似检索，排查商标注册与使用的冲突风险；对创作概念核查著作权在先登记情况，评估作品独创性与侵权风险，实现全品类知识产权风险前置研判。</w:t>
      </w:r>
    </w:p>
    <w:p w:rsidR="00635533" w:rsidRDefault="00635533" w:rsidP="00635533">
      <w:pPr>
        <w:spacing w:line="580" w:lineRule="exact"/>
        <w:ind w:firstLineChars="200" w:firstLine="640"/>
        <w:jc w:val="left"/>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概念筛选与战略契合：基于技术可行性、市场价值、专利、商标、著作权、商业秘密等不同类型知识产权保护的潜力与布局价值，多维度量化筛选最佳概念，确保选定概念与企业整体知识产权战略、品牌战略、创新战略高度契合，支撑企业核心竞争力打造。</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初步保护策略规划：根据技术、品牌、创作概念的特性及风险评估结果，针对性确定拟采用的知识产权保护类型（专利、商标、著作权、商业秘密等单一或组合保护方式），明确各类型知识产权的核心保护要点、保护范围，以及拟布局的国家</w:t>
      </w:r>
      <w:r>
        <w:rPr>
          <w:rFonts w:ascii="Times New Roman" w:eastAsia="仿宋_GB2312" w:hAnsi="Times New Roman" w:hint="eastAsia"/>
          <w:sz w:val="32"/>
          <w:szCs w:val="32"/>
        </w:rPr>
        <w:t>/</w:t>
      </w:r>
      <w:r>
        <w:rPr>
          <w:rFonts w:ascii="Times New Roman" w:eastAsia="仿宋_GB2312" w:hAnsi="Times New Roman" w:hint="eastAsia"/>
          <w:sz w:val="32"/>
          <w:szCs w:val="32"/>
        </w:rPr>
        <w:t>地区、申请</w:t>
      </w:r>
      <w:r>
        <w:rPr>
          <w:rFonts w:ascii="Times New Roman" w:eastAsia="仿宋_GB2312" w:hAnsi="Times New Roman" w:hint="eastAsia"/>
          <w:sz w:val="32"/>
          <w:szCs w:val="32"/>
        </w:rPr>
        <w:t>/</w:t>
      </w:r>
      <w:r>
        <w:rPr>
          <w:rFonts w:ascii="Times New Roman" w:eastAsia="仿宋_GB2312" w:hAnsi="Times New Roman" w:hint="eastAsia"/>
          <w:sz w:val="32"/>
          <w:szCs w:val="32"/>
        </w:rPr>
        <w:t>登记时序。</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合作与权属约定：如需内部跨部门或外部合作形成技术、品牌、创作概念，应提前通过书面协议明确合作过程中产生的专利、商标、著作权、商业秘密、数据知识产权等各类创新成果的权益归属、使用权限、许可方式及利益分配方案，约定成果的后续开发与维权责任。</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保密管理：对尚未公开的技术、设计方案、创作概念核心细节，统一纳入商业秘密管理范畴，与参与研发、设计、策划的相关人员签订保密协议，划定保密范围、明确保密期</w:t>
      </w:r>
      <w:r>
        <w:rPr>
          <w:rFonts w:ascii="Times New Roman" w:eastAsia="仿宋_GB2312" w:hAnsi="Times New Roman" w:hint="eastAsia"/>
          <w:sz w:val="32"/>
          <w:szCs w:val="32"/>
        </w:rPr>
        <w:lastRenderedPageBreak/>
        <w:t>限与违约责任，采取加密存储、限权访问等必要措施，防止商业秘密泄露及未公开概念信息被不当使用。</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第九条</w:t>
      </w:r>
      <w:r>
        <w:rPr>
          <w:rFonts w:ascii="Times New Roman" w:eastAsia="黑体" w:hAnsi="Times New Roman" w:cs="黑体"/>
          <w:sz w:val="32"/>
          <w:szCs w:val="32"/>
        </w:rPr>
        <w:t xml:space="preserve"> </w:t>
      </w:r>
      <w:r>
        <w:rPr>
          <w:rFonts w:ascii="Times New Roman" w:eastAsia="黑体" w:hAnsi="Times New Roman" w:cs="黑体"/>
          <w:sz w:val="32"/>
          <w:szCs w:val="32"/>
        </w:rPr>
        <w:t>常用工具与方法</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可专利性检索与分析：</w:t>
      </w:r>
      <w:r>
        <w:rPr>
          <w:rFonts w:ascii="Times New Roman" w:eastAsia="仿宋_GB2312" w:hAnsi="Times New Roman" w:hint="eastAsia"/>
          <w:sz w:val="32"/>
          <w:szCs w:val="32"/>
        </w:rPr>
        <w:t>针对技术方案开展新颖性、创造性和实用性全方位核查，结合目标申请地区的专利审查标准，判断专利授权前景，降低专利申请失败风险。</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可商标性检索与分析：依托国内外商标数据库，对品牌概念进行全类别、跨地区近似检索，分析商标注册成功率，排查商标侵权风险。</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著作权独创性核查：通过比对在先著作权登记作品、公开发表作品，评估创作概念的独创性与权利冲突风险，为著作权保护提供依据。</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概念可行性评估矩阵：从技术、市场、法律、成本等维度，增设商标注册可行性、著作权保护潜力、商业秘密保护成本等评估指标，对创新概念进行量化评分，精准筛选具备研发与转化价值的优质项目。</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保密协议（</w:t>
      </w:r>
      <w:r>
        <w:rPr>
          <w:rFonts w:ascii="Times New Roman" w:eastAsia="仿宋_GB2312" w:hAnsi="Times New Roman" w:hint="eastAsia"/>
          <w:sz w:val="32"/>
          <w:szCs w:val="32"/>
        </w:rPr>
        <w:t>NDA</w:t>
      </w:r>
      <w:r>
        <w:rPr>
          <w:rFonts w:ascii="Times New Roman" w:eastAsia="仿宋_GB2312" w:hAnsi="Times New Roman" w:hint="eastAsia"/>
          <w:sz w:val="32"/>
          <w:szCs w:val="32"/>
        </w:rPr>
        <w:t>）标准模板：明确缔约双方保密义务、保密范围、保密期限与违约责任，适配技术信息、品牌策划信息、创作底稿等各类商业秘密的保护需求，规范商业秘密保护法律关系。</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合作研发</w:t>
      </w:r>
      <w:r>
        <w:rPr>
          <w:rFonts w:ascii="Times New Roman" w:eastAsia="仿宋_GB2312" w:hAnsi="Times New Roman" w:hint="eastAsia"/>
          <w:sz w:val="32"/>
          <w:szCs w:val="32"/>
        </w:rPr>
        <w:t>/</w:t>
      </w:r>
      <w:r>
        <w:rPr>
          <w:rFonts w:ascii="Times New Roman" w:eastAsia="仿宋_GB2312" w:hAnsi="Times New Roman" w:hint="eastAsia"/>
          <w:sz w:val="32"/>
          <w:szCs w:val="32"/>
        </w:rPr>
        <w:t>设计协议模板：针对技术研发、品牌设计、作品创作等不同合作场景，规范合作各方权责划分，明确专利、商标、著作权、商业秘密、数据知识产权等各类创新成果的权益归属、使用权限、许可收益分配及侵权追责机制，</w:t>
      </w:r>
      <w:r>
        <w:rPr>
          <w:rFonts w:ascii="Times New Roman" w:eastAsia="仿宋_GB2312" w:hAnsi="Times New Roman" w:hint="eastAsia"/>
          <w:sz w:val="32"/>
          <w:szCs w:val="32"/>
        </w:rPr>
        <w:lastRenderedPageBreak/>
        <w:t>从源头减少知识产权权属纠纷。</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知识产权保护类型决策工具：结合概念特性、行业特点、市场布局需求，通过量化分析匹配最优保护方式（如技术方案易被反向工程则优先专利保护，品牌标识则优先商标注册，创作成果则及时办理著作权登记，核心未公开信息纳入商业秘密保护，数据创新成果及时申请登记数据知识产权）。</w:t>
      </w:r>
    </w:p>
    <w:p w:rsidR="00635533" w:rsidRDefault="00635533" w:rsidP="00635533">
      <w:pPr>
        <w:spacing w:line="580" w:lineRule="exact"/>
        <w:ind w:firstLineChars="200" w:firstLine="640"/>
        <w:rPr>
          <w:rFonts w:ascii="Times New Roman" w:eastAsia="仿宋_GB2312" w:hAnsi="Times New Roman" w:hint="eastAsia"/>
          <w:sz w:val="32"/>
          <w:szCs w:val="32"/>
        </w:rPr>
      </w:pPr>
    </w:p>
    <w:p w:rsidR="00635533" w:rsidRDefault="00635533" w:rsidP="00635533">
      <w:pPr>
        <w:spacing w:line="580" w:lineRule="exact"/>
        <w:jc w:val="center"/>
        <w:outlineLvl w:val="1"/>
        <w:rPr>
          <w:rFonts w:ascii="Times New Roman" w:eastAsia="楷体_GB2312" w:hAnsi="Times New Roman" w:cs="楷体_GB2312"/>
          <w:sz w:val="32"/>
          <w:szCs w:val="32"/>
        </w:rPr>
      </w:pPr>
      <w:r>
        <w:rPr>
          <w:rFonts w:ascii="Times New Roman" w:eastAsia="楷体_GB2312" w:hAnsi="Times New Roman" w:cs="楷体_GB2312"/>
          <w:sz w:val="32"/>
          <w:szCs w:val="32"/>
        </w:rPr>
        <w:t>第三节</w:t>
      </w:r>
      <w:r>
        <w:rPr>
          <w:rFonts w:ascii="Times New Roman" w:eastAsia="楷体_GB2312" w:hAnsi="Times New Roman" w:cs="楷体_GB2312"/>
          <w:sz w:val="32"/>
          <w:szCs w:val="32"/>
        </w:rPr>
        <w:t xml:space="preserve"> </w:t>
      </w:r>
      <w:r>
        <w:rPr>
          <w:rFonts w:ascii="Times New Roman" w:eastAsia="楷体_GB2312" w:hAnsi="Times New Roman" w:cs="楷体_GB2312"/>
          <w:sz w:val="32"/>
          <w:szCs w:val="32"/>
        </w:rPr>
        <w:t>验证概念阶段</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第十条</w:t>
      </w:r>
      <w:r>
        <w:rPr>
          <w:rFonts w:ascii="Times New Roman" w:eastAsia="黑体" w:hAnsi="Times New Roman" w:cs="黑体"/>
          <w:sz w:val="32"/>
          <w:szCs w:val="32"/>
        </w:rPr>
        <w:t xml:space="preserve"> </w:t>
      </w:r>
      <w:r>
        <w:rPr>
          <w:rFonts w:ascii="Times New Roman" w:eastAsia="黑体" w:hAnsi="Times New Roman" w:cs="黑体"/>
          <w:sz w:val="32"/>
          <w:szCs w:val="32"/>
        </w:rPr>
        <w:t>管理目标</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通过测试、原型开发等方式验证技术概念的可行性，同步验证品牌概念的适配性、创作概念的落地性，进一步澄清并降低各类概念的不确定性，完善专利、商标、著作权、商业秘密协同运营方案，锁定核心创新成果，筑牢知识产权保护屏障。</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第十一条</w:t>
      </w:r>
      <w:r>
        <w:rPr>
          <w:rFonts w:ascii="Times New Roman" w:eastAsia="黑体" w:hAnsi="Times New Roman" w:cs="黑体"/>
          <w:sz w:val="32"/>
          <w:szCs w:val="32"/>
        </w:rPr>
        <w:t xml:space="preserve"> </w:t>
      </w:r>
      <w:r>
        <w:rPr>
          <w:rFonts w:ascii="Times New Roman" w:eastAsia="黑体" w:hAnsi="Times New Roman" w:cs="黑体"/>
          <w:sz w:val="32"/>
          <w:szCs w:val="32"/>
        </w:rPr>
        <w:t>主要任务</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深入</w:t>
      </w:r>
      <w:r>
        <w:rPr>
          <w:rFonts w:ascii="Times New Roman" w:eastAsia="仿宋_GB2312" w:hAnsi="Times New Roman" w:hint="eastAsia"/>
          <w:sz w:val="32"/>
          <w:szCs w:val="32"/>
        </w:rPr>
        <w:t>FTO</w:t>
      </w:r>
      <w:r>
        <w:rPr>
          <w:rFonts w:ascii="Times New Roman" w:eastAsia="仿宋_GB2312" w:hAnsi="Times New Roman" w:hint="eastAsia"/>
          <w:sz w:val="32"/>
          <w:szCs w:val="32"/>
        </w:rPr>
        <w:t>全品类分析：针对验证过程中明晰的技术方案，开展更深入的专利自由实施（</w:t>
      </w:r>
      <w:r>
        <w:rPr>
          <w:rFonts w:ascii="Times New Roman" w:eastAsia="仿宋_GB2312" w:hAnsi="Times New Roman" w:hint="eastAsia"/>
          <w:sz w:val="32"/>
          <w:szCs w:val="32"/>
        </w:rPr>
        <w:t>FTO</w:t>
      </w:r>
      <w:r>
        <w:rPr>
          <w:rFonts w:ascii="Times New Roman" w:eastAsia="仿宋_GB2312" w:hAnsi="Times New Roman" w:hint="eastAsia"/>
          <w:sz w:val="32"/>
          <w:szCs w:val="32"/>
        </w:rPr>
        <w:t>）分析，识别具体的风险专利；同步对品牌概念对应的商标标识，核查目标国家</w:t>
      </w:r>
      <w:r>
        <w:rPr>
          <w:rFonts w:ascii="Times New Roman" w:eastAsia="仿宋_GB2312" w:hAnsi="Times New Roman" w:hint="eastAsia"/>
          <w:sz w:val="32"/>
          <w:szCs w:val="32"/>
        </w:rPr>
        <w:t>/</w:t>
      </w:r>
      <w:r>
        <w:rPr>
          <w:rFonts w:ascii="Times New Roman" w:eastAsia="仿宋_GB2312" w:hAnsi="Times New Roman" w:hint="eastAsia"/>
          <w:sz w:val="32"/>
          <w:szCs w:val="32"/>
        </w:rPr>
        <w:t>地区的商标权利冲突风险，评估商标使用与注册的合规性；对创作概念转化的初步作品，排查著作权侵权风险，确保技术、品牌、作品的自由实施。针对识别的各类风险，评估规避设计、获取许可、权利无效等应对方案的可行性。​</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外部资源协同（如涉及）：与潜在合作者、许可方协商</w:t>
      </w:r>
      <w:r>
        <w:rPr>
          <w:rFonts w:ascii="Times New Roman" w:eastAsia="仿宋_GB2312" w:hAnsi="Times New Roman" w:hint="eastAsia"/>
          <w:sz w:val="32"/>
          <w:szCs w:val="32"/>
        </w:rPr>
        <w:lastRenderedPageBreak/>
        <w:t>沟通，争取必要的专利、商标、著作权授权或资源支持；若合作过程中涉及商业秘密共享或共同培育，应明确保密边界与使用限制，降低已验证概念（技术、品牌、创作）的不确定性。鼓励企业积极对接概念验证中心，借助公共服务平台资源，以科技服务赋能产业创新，推动知识产权潜在价值的识别与转化。</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确定全品类申请</w:t>
      </w:r>
      <w:r>
        <w:rPr>
          <w:rFonts w:ascii="Times New Roman" w:eastAsia="仿宋_GB2312" w:hAnsi="Times New Roman" w:hint="eastAsia"/>
          <w:sz w:val="32"/>
          <w:szCs w:val="32"/>
        </w:rPr>
        <w:t>/</w:t>
      </w:r>
      <w:r>
        <w:rPr>
          <w:rFonts w:ascii="Times New Roman" w:eastAsia="仿宋_GB2312" w:hAnsi="Times New Roman" w:hint="eastAsia"/>
          <w:sz w:val="32"/>
          <w:szCs w:val="32"/>
        </w:rPr>
        <w:t>登记策略：基于验证结果和商业计划，最终确定知识产权综合保护策略，包括：专利申请的时机、类型、权利要求范围及目标国家</w:t>
      </w:r>
      <w:r>
        <w:rPr>
          <w:rFonts w:ascii="Times New Roman" w:eastAsia="仿宋_GB2312" w:hAnsi="Times New Roman" w:hint="eastAsia"/>
          <w:sz w:val="32"/>
          <w:szCs w:val="32"/>
        </w:rPr>
        <w:t>/</w:t>
      </w:r>
      <w:r>
        <w:rPr>
          <w:rFonts w:ascii="Times New Roman" w:eastAsia="仿宋_GB2312" w:hAnsi="Times New Roman" w:hint="eastAsia"/>
          <w:sz w:val="32"/>
          <w:szCs w:val="32"/>
        </w:rPr>
        <w:t>地区；商标注册的类别、申请时机、拟布局国家</w:t>
      </w:r>
      <w:r>
        <w:rPr>
          <w:rFonts w:ascii="Times New Roman" w:eastAsia="仿宋_GB2312" w:hAnsi="Times New Roman" w:hint="eastAsia"/>
          <w:sz w:val="32"/>
          <w:szCs w:val="32"/>
        </w:rPr>
        <w:t>/</w:t>
      </w:r>
      <w:r>
        <w:rPr>
          <w:rFonts w:ascii="Times New Roman" w:eastAsia="仿宋_GB2312" w:hAnsi="Times New Roman" w:hint="eastAsia"/>
          <w:sz w:val="32"/>
          <w:szCs w:val="32"/>
        </w:rPr>
        <w:t>地区（结合产品投放计划）；著作权登记的类型（如软件著作权、美术作品著作权等）、登记时机；商业秘密的界定范围、保护等级及配套保护措施，实现各类知识产权的协同布局。​</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准备申请</w:t>
      </w:r>
      <w:r>
        <w:rPr>
          <w:rFonts w:ascii="Times New Roman" w:eastAsia="仿宋_GB2312" w:hAnsi="Times New Roman" w:hint="eastAsia"/>
          <w:sz w:val="32"/>
          <w:szCs w:val="32"/>
        </w:rPr>
        <w:t>/</w:t>
      </w:r>
      <w:r>
        <w:rPr>
          <w:rFonts w:ascii="Times New Roman" w:eastAsia="仿宋_GB2312" w:hAnsi="Times New Roman" w:hint="eastAsia"/>
          <w:sz w:val="32"/>
          <w:szCs w:val="32"/>
        </w:rPr>
        <w:t>登记文件：研发人员、品牌设计人员、创作人员分别与知识产权专业人员紧密协作：专利申请文件需准确、充分披露发明内容，争取最合理保护范围；商标注册申请文件需规范填写商标标识、指定商品</w:t>
      </w:r>
      <w:r>
        <w:rPr>
          <w:rFonts w:ascii="Times New Roman" w:eastAsia="仿宋_GB2312" w:hAnsi="Times New Roman" w:hint="eastAsia"/>
          <w:sz w:val="32"/>
          <w:szCs w:val="32"/>
        </w:rPr>
        <w:t>/</w:t>
      </w:r>
      <w:r>
        <w:rPr>
          <w:rFonts w:ascii="Times New Roman" w:eastAsia="仿宋_GB2312" w:hAnsi="Times New Roman" w:hint="eastAsia"/>
          <w:sz w:val="32"/>
          <w:szCs w:val="32"/>
        </w:rPr>
        <w:t>服务类别，确保符合注册审查要求；著作权登记文件需完整提交作品样本、创作说明等材料，保障登记顺利通过；同步整理商业秘密界定文件、保护制度，明确保密要点；数据知识产权登记需对数据进行加工处理，提前开展数据存证并明确具体应用场景和相关算法规则。</w:t>
      </w:r>
    </w:p>
    <w:p w:rsidR="00635533" w:rsidRDefault="00635533" w:rsidP="00635533">
      <w:pPr>
        <w:spacing w:line="580" w:lineRule="exact"/>
        <w:ind w:firstLineChars="200" w:firstLine="640"/>
        <w:rPr>
          <w:rFonts w:ascii="Times New Roman" w:eastAsia="国标仿宋" w:hAnsi="Times New Roman" w:cs="国标仿宋"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过程记录与全品类资产管理：详细记录验证实验数据、设计图纸、测试报告、品牌设计底稿、作品创作草稿、修改</w:t>
      </w:r>
      <w:r>
        <w:rPr>
          <w:rFonts w:ascii="Times New Roman" w:eastAsia="仿宋_GB2312" w:hAnsi="Times New Roman" w:hint="eastAsia"/>
          <w:sz w:val="32"/>
          <w:szCs w:val="32"/>
        </w:rPr>
        <w:lastRenderedPageBreak/>
        <w:t>记录等过程文件，规范存储并设置访问权限；及时将验证中产生的新技术成果、优化后的品牌标识、完成的阶段性作品纳入对应知识产权保护范畴（专利申请、商标注册、著作权登记或商业秘密管理）；对验证过程中形成的未公开核心信息（如关键实验参数、品牌战略规划、作品核心创意），强化商业秘密保护，更新保密台账；对已登记的数据知识产权可根据数据资产全过程管理要求，作为企业数据资产登记入账</w:t>
      </w:r>
      <w:r>
        <w:rPr>
          <w:rFonts w:ascii="Times New Roman" w:eastAsia="国标仿宋" w:hAnsi="Times New Roman" w:cs="国标仿宋" w:hint="eastAsia"/>
          <w:sz w:val="32"/>
          <w:szCs w:val="32"/>
        </w:rPr>
        <w:t>。​</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保密与侵权预警强化：针对验证阶段的核心技术数据、品牌未公开标识、作品未发表内容等商业秘密，升级保密措施，限制知情人员范围，对涉密设备、文件进行加密管理；建立临时侵权预警机制，监控竞品在专利申请、商标注册、著作权登记等方面的动态，防范核心成果被恶意模仿或抢注。​</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第十二条</w:t>
      </w:r>
      <w:r>
        <w:rPr>
          <w:rFonts w:ascii="Times New Roman" w:eastAsia="黑体" w:hAnsi="Times New Roman" w:cs="黑体"/>
          <w:sz w:val="32"/>
          <w:szCs w:val="32"/>
        </w:rPr>
        <w:t xml:space="preserve"> </w:t>
      </w:r>
      <w:r>
        <w:rPr>
          <w:rFonts w:ascii="Times New Roman" w:eastAsia="黑体" w:hAnsi="Times New Roman" w:cs="黑体"/>
          <w:sz w:val="32"/>
          <w:szCs w:val="32"/>
        </w:rPr>
        <w:t>常用工具与方法</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全品类自由实施（</w:t>
      </w:r>
      <w:r>
        <w:rPr>
          <w:rFonts w:ascii="Times New Roman" w:eastAsia="仿宋_GB2312" w:hAnsi="Times New Roman" w:hint="eastAsia"/>
          <w:sz w:val="32"/>
          <w:szCs w:val="32"/>
        </w:rPr>
        <w:t>FTO</w:t>
      </w:r>
      <w:r>
        <w:rPr>
          <w:rFonts w:ascii="Times New Roman" w:eastAsia="仿宋_GB2312" w:hAnsi="Times New Roman" w:hint="eastAsia"/>
          <w:sz w:val="32"/>
          <w:szCs w:val="32"/>
        </w:rPr>
        <w:t>）分析报告模板：整合专利、商标、著作权多维风险排查模块，明确技术方案专利侵权风险、商标标识权利冲突风险、作品著作权侵权风险的核查标准与流程，同步给出规避设计、许可谈判、权利无效等针对性应对建议，保障技术、品牌、作品的合规实施与市场投放。​</w:t>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原型测试与全维度数据记录体系：包括技术领域的实验数据记录表、原型测试报告模板，品牌领域的商标标识适配性测试记录、市场接受度调研表单，创作领域的作品原型修改日志、效果验证报告等，统一规范记录格式与存储要求，为专利申请、商标注册、著作权登记提供实证依据，同时作为商业秘密保护的核心证据材料。​</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lastRenderedPageBreak/>
        <w:t>3.</w:t>
      </w:r>
      <w:r>
        <w:rPr>
          <w:rFonts w:ascii="Times New Roman" w:eastAsia="仿宋_GB2312" w:hAnsi="Times New Roman" w:hint="eastAsia"/>
          <w:sz w:val="32"/>
          <w:szCs w:val="32"/>
        </w:rPr>
        <w:t>专利申请文件撰写与审核流程：标准化专利申请书、权利要求书、说明书等文件的撰写规范，建立“研发人员初稿→知识产权专员审核→外部代理机构优化→内部专家评审”的多级审核机制，提升专利授权率与权利稳定性。​</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商标注册申请文件规范与检索工具：依托国家知识产权局商标局数据库及第三方商标检索平台，提供商标近似检索、类别规划工具，配套商标注册申请书填写模板、商标标识规范要求（如清晰图样、使用说明），明确“检索→筛选→申请→补正”全流程操作标准，提高商标注册成功率。</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著作权登记文件制备工具包：包含软件著作权、美术作品、文字作品等不同类型的登记申请表模板、创作说明撰写指南、作品样本整理规范，提供著作权登记流程指引与材料审核清单，确保登记文件完整合规，加速登记进程。​</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商业秘密分级保护工具：制定商业秘密界定标准与分级评估量表（如核心级、重要级、一般级），配套涉密文件加密存储工具、访问权限管理系统、保密台账模板，明确不同级别商业秘密的存储方式、访问权限、传递流程，强化核心信息保密管理。​</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知识产权侵权预警监控平台：整合专利、商标、著作权数据库，设置关键词监测（如技术关键词、品牌名称、作品名称），实时推送竞品知识产权申请、授权动态，及时发现恶意抢注、模仿抄袭等风险，支撑侵权预警与快速应对。</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申请</w:t>
      </w:r>
      <w:r>
        <w:rPr>
          <w:rFonts w:ascii="Times New Roman" w:eastAsia="仿宋_GB2312" w:hAnsi="Times New Roman" w:hint="eastAsia"/>
          <w:sz w:val="32"/>
          <w:szCs w:val="32"/>
        </w:rPr>
        <w:t>/</w:t>
      </w:r>
      <w:r>
        <w:rPr>
          <w:rFonts w:ascii="Times New Roman" w:eastAsia="仿宋_GB2312" w:hAnsi="Times New Roman" w:hint="eastAsia"/>
          <w:sz w:val="32"/>
          <w:szCs w:val="32"/>
        </w:rPr>
        <w:t>登记时序规划工具：结合产品研发进度、市场投放计划，构建知识产权申请</w:t>
      </w:r>
      <w:r>
        <w:rPr>
          <w:rFonts w:ascii="Times New Roman" w:eastAsia="仿宋_GB2312" w:hAnsi="Times New Roman" w:hint="eastAsia"/>
          <w:sz w:val="32"/>
          <w:szCs w:val="32"/>
        </w:rPr>
        <w:t>/</w:t>
      </w:r>
      <w:r>
        <w:rPr>
          <w:rFonts w:ascii="Times New Roman" w:eastAsia="仿宋_GB2312" w:hAnsi="Times New Roman" w:hint="eastAsia"/>
          <w:sz w:val="32"/>
          <w:szCs w:val="32"/>
        </w:rPr>
        <w:t>登记时序决策矩阵，明确专利申</w:t>
      </w:r>
      <w:r>
        <w:rPr>
          <w:rFonts w:ascii="Times New Roman" w:eastAsia="仿宋_GB2312" w:hAnsi="Times New Roman" w:hint="eastAsia"/>
          <w:sz w:val="32"/>
          <w:szCs w:val="32"/>
        </w:rPr>
        <w:lastRenderedPageBreak/>
        <w:t>请（如优先申请、</w:t>
      </w:r>
      <w:r>
        <w:rPr>
          <w:rFonts w:ascii="Times New Roman" w:eastAsia="仿宋_GB2312" w:hAnsi="Times New Roman" w:hint="eastAsia"/>
          <w:sz w:val="32"/>
          <w:szCs w:val="32"/>
        </w:rPr>
        <w:t>PCT</w:t>
      </w:r>
      <w:r>
        <w:rPr>
          <w:rFonts w:ascii="Times New Roman" w:eastAsia="仿宋_GB2312" w:hAnsi="Times New Roman" w:hint="eastAsia"/>
          <w:sz w:val="32"/>
          <w:szCs w:val="32"/>
        </w:rPr>
        <w:t>国际申请）、商标注册（如国内注册与海外布局时序）、著作权登记（如作品完成后及时登记）的最佳时机判断标准，实现各类知识产权协同布局。​</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跨部门协作沟通平台：搭建研发、品牌、创作、知识产权团队的共享协作系统，支持申请文件初稿共享、审核意见反馈、数据材料上传等功能，设置文件访问权限与操作日志，确保沟通高效且符合保密要求。</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10.</w:t>
      </w:r>
      <w:r>
        <w:rPr>
          <w:rFonts w:ascii="Times New Roman" w:eastAsia="仿宋_GB2312" w:hAnsi="Times New Roman" w:hint="eastAsia"/>
          <w:sz w:val="32"/>
          <w:szCs w:val="32"/>
        </w:rPr>
        <w:t>数据的创新与利用：加强对相关分析、测试、监测、运行相关数据的管理、开发与创新利用，为企业数据知识产权</w:t>
      </w:r>
      <w:r>
        <w:rPr>
          <w:rFonts w:ascii="Times New Roman" w:eastAsia="仿宋_GB2312" w:hAnsi="Times New Roman"/>
          <w:sz w:val="32"/>
          <w:szCs w:val="32"/>
        </w:rPr>
        <w:t>确权</w:t>
      </w:r>
      <w:r>
        <w:rPr>
          <w:rFonts w:ascii="Times New Roman" w:eastAsia="仿宋_GB2312" w:hAnsi="Times New Roman" w:hint="eastAsia"/>
          <w:sz w:val="32"/>
          <w:szCs w:val="32"/>
        </w:rPr>
        <w:t>奠定基础。</w:t>
      </w:r>
    </w:p>
    <w:p w:rsidR="00635533" w:rsidRDefault="00635533" w:rsidP="00635533">
      <w:pPr>
        <w:spacing w:line="580" w:lineRule="exact"/>
        <w:ind w:firstLineChars="200" w:firstLine="640"/>
        <w:rPr>
          <w:rFonts w:ascii="Times New Roman" w:eastAsia="仿宋_GB2312" w:hAnsi="Times New Roman"/>
          <w:sz w:val="32"/>
          <w:szCs w:val="32"/>
        </w:rPr>
      </w:pPr>
    </w:p>
    <w:p w:rsidR="00635533" w:rsidRDefault="00635533" w:rsidP="00635533">
      <w:pPr>
        <w:spacing w:line="580" w:lineRule="exact"/>
        <w:jc w:val="center"/>
        <w:outlineLvl w:val="1"/>
        <w:rPr>
          <w:rFonts w:ascii="Times New Roman" w:eastAsia="楷体_GB2312" w:hAnsi="Times New Roman" w:cs="楷体_GB2312"/>
          <w:sz w:val="32"/>
          <w:szCs w:val="32"/>
        </w:rPr>
      </w:pPr>
      <w:r>
        <w:rPr>
          <w:rFonts w:ascii="Times New Roman" w:eastAsia="楷体_GB2312" w:hAnsi="Times New Roman" w:cs="楷体_GB2312"/>
          <w:sz w:val="32"/>
          <w:szCs w:val="32"/>
        </w:rPr>
        <w:t>第四节</w:t>
      </w:r>
      <w:r>
        <w:rPr>
          <w:rFonts w:ascii="Times New Roman" w:eastAsia="楷体_GB2312" w:hAnsi="Times New Roman" w:cs="楷体_GB2312"/>
          <w:sz w:val="32"/>
          <w:szCs w:val="32"/>
        </w:rPr>
        <w:t xml:space="preserve"> </w:t>
      </w:r>
      <w:r>
        <w:rPr>
          <w:rFonts w:ascii="Times New Roman" w:eastAsia="楷体_GB2312" w:hAnsi="Times New Roman" w:cs="楷体_GB2312"/>
          <w:sz w:val="32"/>
          <w:szCs w:val="32"/>
        </w:rPr>
        <w:t>开发方案阶段</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第十三条</w:t>
      </w:r>
      <w:r>
        <w:rPr>
          <w:rFonts w:ascii="Times New Roman" w:eastAsia="黑体" w:hAnsi="Times New Roman" w:cs="黑体"/>
          <w:sz w:val="32"/>
          <w:szCs w:val="32"/>
        </w:rPr>
        <w:t xml:space="preserve"> </w:t>
      </w:r>
      <w:r>
        <w:rPr>
          <w:rFonts w:ascii="Times New Roman" w:eastAsia="黑体" w:hAnsi="Times New Roman" w:cs="黑体"/>
          <w:sz w:val="32"/>
          <w:szCs w:val="32"/>
        </w:rPr>
        <w:t>管理目标</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将已验证的技术、品牌、创作等概念转化为可商业化的解决方案（产品或服务），系统管理开发过程中的专利、商标、著作权、商业秘密等各类知识产权，构建协同保护与运营体系，确保解决方案在法律、技术、品牌层面具备可实施性与核心竞争力。</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第十四条</w:t>
      </w:r>
      <w:r>
        <w:rPr>
          <w:rFonts w:ascii="Times New Roman" w:eastAsia="黑体" w:hAnsi="Times New Roman" w:cs="黑体"/>
          <w:sz w:val="32"/>
          <w:szCs w:val="32"/>
        </w:rPr>
        <w:t xml:space="preserve"> </w:t>
      </w:r>
      <w:r>
        <w:rPr>
          <w:rFonts w:ascii="Times New Roman" w:eastAsia="黑体" w:hAnsi="Times New Roman" w:cs="黑体"/>
          <w:sz w:val="32"/>
          <w:szCs w:val="32"/>
        </w:rPr>
        <w:t>主要任务</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全维度信息监控：开发过程中，实时或定期监控竞争对手的技术创新动态、专利申请</w:t>
      </w:r>
      <w:r>
        <w:rPr>
          <w:rFonts w:ascii="Times New Roman" w:eastAsia="仿宋_GB2312" w:hAnsi="Times New Roman" w:hint="eastAsia"/>
          <w:sz w:val="32"/>
          <w:szCs w:val="32"/>
        </w:rPr>
        <w:t>/</w:t>
      </w:r>
      <w:r>
        <w:rPr>
          <w:rFonts w:ascii="Times New Roman" w:eastAsia="仿宋_GB2312" w:hAnsi="Times New Roman" w:hint="eastAsia"/>
          <w:sz w:val="32"/>
          <w:szCs w:val="32"/>
        </w:rPr>
        <w:t>授权情况，品牌标识使用、商标注册</w:t>
      </w:r>
      <w:r>
        <w:rPr>
          <w:rFonts w:ascii="Times New Roman" w:eastAsia="仿宋_GB2312" w:hAnsi="Times New Roman" w:hint="eastAsia"/>
          <w:sz w:val="32"/>
          <w:szCs w:val="32"/>
        </w:rPr>
        <w:t>/</w:t>
      </w:r>
      <w:r>
        <w:rPr>
          <w:rFonts w:ascii="Times New Roman" w:eastAsia="仿宋_GB2312" w:hAnsi="Times New Roman" w:hint="eastAsia"/>
          <w:sz w:val="32"/>
          <w:szCs w:val="32"/>
        </w:rPr>
        <w:t>续展</w:t>
      </w:r>
      <w:r>
        <w:rPr>
          <w:rFonts w:ascii="Times New Roman" w:eastAsia="仿宋_GB2312" w:hAnsi="Times New Roman" w:hint="eastAsia"/>
          <w:sz w:val="32"/>
          <w:szCs w:val="32"/>
        </w:rPr>
        <w:t>/</w:t>
      </w:r>
      <w:r>
        <w:rPr>
          <w:rFonts w:ascii="Times New Roman" w:eastAsia="仿宋_GB2312" w:hAnsi="Times New Roman" w:hint="eastAsia"/>
          <w:sz w:val="32"/>
          <w:szCs w:val="32"/>
        </w:rPr>
        <w:t>转让动态，作品创作与著作权登记</w:t>
      </w:r>
      <w:r>
        <w:rPr>
          <w:rFonts w:ascii="Times New Roman" w:eastAsia="仿宋_GB2312" w:hAnsi="Times New Roman" w:hint="eastAsia"/>
          <w:sz w:val="32"/>
          <w:szCs w:val="32"/>
        </w:rPr>
        <w:t>/</w:t>
      </w:r>
      <w:r>
        <w:rPr>
          <w:rFonts w:ascii="Times New Roman" w:eastAsia="仿宋_GB2312" w:hAnsi="Times New Roman" w:hint="eastAsia"/>
          <w:sz w:val="32"/>
          <w:szCs w:val="32"/>
        </w:rPr>
        <w:t>许可情况，以及商业秘密保护措施变化等信息；建立“技术</w:t>
      </w:r>
      <w:r>
        <w:rPr>
          <w:rFonts w:ascii="Times New Roman" w:eastAsia="仿宋_GB2312" w:hAnsi="Times New Roman" w:hint="eastAsia"/>
          <w:sz w:val="32"/>
          <w:szCs w:val="32"/>
        </w:rPr>
        <w:t>+</w:t>
      </w:r>
      <w:r>
        <w:rPr>
          <w:rFonts w:ascii="Times New Roman" w:eastAsia="仿宋_GB2312" w:hAnsi="Times New Roman" w:hint="eastAsia"/>
          <w:sz w:val="32"/>
          <w:szCs w:val="32"/>
        </w:rPr>
        <w:t>品牌</w:t>
      </w:r>
      <w:r>
        <w:rPr>
          <w:rFonts w:ascii="Times New Roman" w:eastAsia="仿宋_GB2312" w:hAnsi="Times New Roman" w:hint="eastAsia"/>
          <w:sz w:val="32"/>
          <w:szCs w:val="32"/>
        </w:rPr>
        <w:t>+</w:t>
      </w:r>
      <w:r>
        <w:rPr>
          <w:rFonts w:ascii="Times New Roman" w:eastAsia="仿宋_GB2312" w:hAnsi="Times New Roman" w:hint="eastAsia"/>
          <w:sz w:val="32"/>
          <w:szCs w:val="32"/>
        </w:rPr>
        <w:t>作品</w:t>
      </w:r>
      <w:r>
        <w:rPr>
          <w:rFonts w:ascii="Times New Roman" w:eastAsia="仿宋_GB2312" w:hAnsi="Times New Roman" w:hint="eastAsia"/>
          <w:sz w:val="32"/>
          <w:szCs w:val="32"/>
        </w:rPr>
        <w:t>+</w:t>
      </w:r>
      <w:r>
        <w:rPr>
          <w:rFonts w:ascii="Times New Roman" w:eastAsia="仿宋_GB2312" w:hAnsi="Times New Roman" w:hint="eastAsia"/>
          <w:sz w:val="32"/>
          <w:szCs w:val="32"/>
        </w:rPr>
        <w:t>商业秘密”四维监控台账，明确监控频率（如核心竞品每周</w:t>
      </w:r>
      <w:r>
        <w:rPr>
          <w:rFonts w:ascii="Times New Roman" w:eastAsia="仿宋_GB2312" w:hAnsi="Times New Roman" w:hint="eastAsia"/>
          <w:sz w:val="32"/>
          <w:szCs w:val="32"/>
        </w:rPr>
        <w:lastRenderedPageBreak/>
        <w:t>1</w:t>
      </w:r>
      <w:r>
        <w:rPr>
          <w:rFonts w:ascii="Times New Roman" w:eastAsia="仿宋_GB2312" w:hAnsi="Times New Roman" w:hint="eastAsia"/>
          <w:sz w:val="32"/>
          <w:szCs w:val="32"/>
        </w:rPr>
        <w:t>次、行业动态每月</w:t>
      </w:r>
      <w:r>
        <w:rPr>
          <w:rFonts w:ascii="Times New Roman" w:eastAsia="仿宋_GB2312" w:hAnsi="Times New Roman" w:hint="eastAsia"/>
          <w:sz w:val="32"/>
          <w:szCs w:val="32"/>
        </w:rPr>
        <w:t>1</w:t>
      </w:r>
      <w:r>
        <w:rPr>
          <w:rFonts w:ascii="Times New Roman" w:eastAsia="仿宋_GB2312" w:hAnsi="Times New Roman" w:hint="eastAsia"/>
          <w:sz w:val="32"/>
          <w:szCs w:val="32"/>
        </w:rPr>
        <w:t>次），及时分析竞品知识产权布局策略，为自身方案优化与知识产权调整提供依据。</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全品类风险应对措施：执行全维度</w:t>
      </w:r>
      <w:r>
        <w:rPr>
          <w:rFonts w:ascii="Times New Roman" w:eastAsia="仿宋_GB2312" w:hAnsi="Times New Roman" w:hint="eastAsia"/>
          <w:sz w:val="32"/>
          <w:szCs w:val="32"/>
        </w:rPr>
        <w:t>FTO</w:t>
      </w:r>
      <w:r>
        <w:rPr>
          <w:rFonts w:ascii="Times New Roman" w:eastAsia="仿宋_GB2312" w:hAnsi="Times New Roman" w:hint="eastAsia"/>
          <w:sz w:val="32"/>
          <w:szCs w:val="32"/>
        </w:rPr>
        <w:t>分析确定的应对策略，针对专利风险完成规避设计或启动许可谈判，针对商标权利冲突风险调整标识设计或协商权利转让，针对著作权侵权风险优化作品内容或获取使用授权；建立风险动态跟踪机制，定期评估应对措施有效性，及时更新风险应对方案，确保开发活动不侵犯他人各类知识产权。​</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外部开发知识产权全流程管理：如果采用外包、合作开发等方式（包括技术研发、品牌设计、作品创作、委托开发等环节），应在合同中明确约定：背景知识产权（各方原有专利、商标、著作权、商业秘密）的使用权限与限制；前景知识产权（开发过程中产生的新技术、新品牌、新作品、新商业秘密、新数据）的权益归属、使用许可范围、收益分配方式；商业秘密的保密义务（包括涉密信息范围、保密期限、违约责任）；知识产权侵权责任的划分与追偿机制，避免权属纠纷与秘密泄露。</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多类型知识产权布局与组合构建：根据产品架构、市场规划及开发进度，开展系统性知识产权布局：专利层面聚焦核心技术、关键零部件、实现方法布局发明专利与实用新型专利，形成专利组合；商标层面围绕产品</w:t>
      </w:r>
      <w:r>
        <w:rPr>
          <w:rFonts w:ascii="Times New Roman" w:eastAsia="仿宋_GB2312" w:hAnsi="Times New Roman" w:hint="eastAsia"/>
          <w:sz w:val="32"/>
          <w:szCs w:val="32"/>
        </w:rPr>
        <w:t>/</w:t>
      </w:r>
      <w:r>
        <w:rPr>
          <w:rFonts w:ascii="Times New Roman" w:eastAsia="仿宋_GB2312" w:hAnsi="Times New Roman" w:hint="eastAsia"/>
          <w:sz w:val="32"/>
          <w:szCs w:val="32"/>
        </w:rPr>
        <w:t>服务核心类别及关联类别、目标市场国家</w:t>
      </w:r>
      <w:r>
        <w:rPr>
          <w:rFonts w:ascii="Times New Roman" w:eastAsia="仿宋_GB2312" w:hAnsi="Times New Roman" w:hint="eastAsia"/>
          <w:sz w:val="32"/>
          <w:szCs w:val="32"/>
        </w:rPr>
        <w:t>/</w:t>
      </w:r>
      <w:r>
        <w:rPr>
          <w:rFonts w:ascii="Times New Roman" w:eastAsia="仿宋_GB2312" w:hAnsi="Times New Roman" w:hint="eastAsia"/>
          <w:sz w:val="32"/>
          <w:szCs w:val="32"/>
        </w:rPr>
        <w:t>地区，布局主商标、防御商标、联合商标，构建商标保护矩阵；著作权层面针对产品包装设计、宣传文案、软件程序、配套作品等，及时办理著作权登记，</w:t>
      </w:r>
      <w:r>
        <w:rPr>
          <w:rFonts w:ascii="Times New Roman" w:eastAsia="仿宋_GB2312" w:hAnsi="Times New Roman" w:hint="eastAsia"/>
          <w:sz w:val="32"/>
          <w:szCs w:val="32"/>
        </w:rPr>
        <w:lastRenderedPageBreak/>
        <w:t>明确保护范围；数据知识产权</w:t>
      </w:r>
      <w:r>
        <w:rPr>
          <w:rFonts w:ascii="Times New Roman" w:eastAsia="仿宋_GB2312" w:hAnsi="Times New Roman"/>
          <w:sz w:val="32"/>
          <w:szCs w:val="32"/>
        </w:rPr>
        <w:t>层面</w:t>
      </w:r>
      <w:r>
        <w:rPr>
          <w:rFonts w:ascii="Times New Roman" w:eastAsia="仿宋_GB2312" w:hAnsi="Times New Roman" w:hint="eastAsia"/>
          <w:sz w:val="32"/>
          <w:szCs w:val="32"/>
        </w:rPr>
        <w:t>针对产品研发、概念验证、中试熟化、产品上市、营销管理等经营活动全过程所形成的可流通复用的数据创新成果，</w:t>
      </w:r>
      <w:r>
        <w:rPr>
          <w:rFonts w:ascii="Times New Roman" w:eastAsia="仿宋_GB2312" w:hAnsi="Times New Roman"/>
          <w:sz w:val="32"/>
          <w:szCs w:val="32"/>
        </w:rPr>
        <w:t>适</w:t>
      </w:r>
      <w:r>
        <w:rPr>
          <w:rFonts w:ascii="Times New Roman" w:eastAsia="仿宋_GB2312" w:hAnsi="Times New Roman" w:hint="eastAsia"/>
          <w:sz w:val="32"/>
          <w:szCs w:val="32"/>
        </w:rPr>
        <w:t>时开展数据知识产权登记保护；商业秘密层面界定开发过程中形成的未公开核心信息（如生产工艺参数、客户资源、营销方案、技术诀窍），纳入分级保护体系；最终形成“专利护技术、商标树品牌、著作权保作品、商业秘密守核心”的协同组合，支撑产品核心竞争力。</w:t>
      </w:r>
      <w:r>
        <w:rPr>
          <w:rFonts w:ascii="Times New Roman" w:eastAsia="仿宋_GB2312" w:hAnsi="Times New Roman" w:hint="eastAsia"/>
          <w:sz w:val="32"/>
          <w:szCs w:val="32"/>
        </w:rPr>
        <w:t xml:space="preserve"> </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品牌战略深度协同：深化新产品</w:t>
      </w:r>
      <w:r>
        <w:rPr>
          <w:rFonts w:ascii="Times New Roman" w:eastAsia="仿宋_GB2312" w:hAnsi="Times New Roman" w:hint="eastAsia"/>
          <w:sz w:val="32"/>
          <w:szCs w:val="32"/>
        </w:rPr>
        <w:t>/</w:t>
      </w:r>
      <w:r>
        <w:rPr>
          <w:rFonts w:ascii="Times New Roman" w:eastAsia="仿宋_GB2312" w:hAnsi="Times New Roman" w:hint="eastAsia"/>
          <w:sz w:val="32"/>
          <w:szCs w:val="32"/>
        </w:rPr>
        <w:t>服务的品牌规划，结合目标市场消费习惯与法律规定，开展商标近似检索（含核心类别及延伸类别、目标国家</w:t>
      </w:r>
      <w:r>
        <w:rPr>
          <w:rFonts w:ascii="Times New Roman" w:eastAsia="仿宋_GB2312" w:hAnsi="Times New Roman" w:hint="eastAsia"/>
          <w:sz w:val="32"/>
          <w:szCs w:val="32"/>
        </w:rPr>
        <w:t>/</w:t>
      </w:r>
      <w:r>
        <w:rPr>
          <w:rFonts w:ascii="Times New Roman" w:eastAsia="仿宋_GB2312" w:hAnsi="Times New Roman" w:hint="eastAsia"/>
          <w:sz w:val="32"/>
          <w:szCs w:val="32"/>
        </w:rPr>
        <w:t>地区）、显著性评估与禁用词排查；确定商标注册方案（如国内注册与马德里国际注册时序、彩色</w:t>
      </w:r>
      <w:r>
        <w:rPr>
          <w:rFonts w:ascii="Times New Roman" w:eastAsia="仿宋_GB2312" w:hAnsi="Times New Roman" w:hint="eastAsia"/>
          <w:sz w:val="32"/>
          <w:szCs w:val="32"/>
        </w:rPr>
        <w:t>/</w:t>
      </w:r>
      <w:r>
        <w:rPr>
          <w:rFonts w:ascii="Times New Roman" w:eastAsia="仿宋_GB2312" w:hAnsi="Times New Roman" w:hint="eastAsia"/>
          <w:sz w:val="32"/>
          <w:szCs w:val="32"/>
        </w:rPr>
        <w:t>黑白标识选择），同步规划商标使用规范（如标识标注位置、与产品</w:t>
      </w:r>
      <w:r>
        <w:rPr>
          <w:rFonts w:ascii="Times New Roman" w:eastAsia="仿宋_GB2312" w:hAnsi="Times New Roman" w:hint="eastAsia"/>
          <w:sz w:val="32"/>
          <w:szCs w:val="32"/>
        </w:rPr>
        <w:t>/</w:t>
      </w:r>
      <w:r>
        <w:rPr>
          <w:rFonts w:ascii="Times New Roman" w:eastAsia="仿宋_GB2312" w:hAnsi="Times New Roman" w:hint="eastAsia"/>
          <w:sz w:val="32"/>
          <w:szCs w:val="32"/>
        </w:rPr>
        <w:t>服务的适配要求）；将商标布局与产品开发进度绑定（如产品定型前完成商标注册申请），确保品牌名称、标识的合法性、可保护性与市场辨识度；同步规划品牌相关作品（如</w:t>
      </w:r>
      <w:r>
        <w:rPr>
          <w:rFonts w:ascii="Times New Roman" w:eastAsia="仿宋_GB2312" w:hAnsi="Times New Roman" w:hint="eastAsia"/>
          <w:sz w:val="32"/>
          <w:szCs w:val="32"/>
        </w:rPr>
        <w:t>logo</w:t>
      </w:r>
      <w:r>
        <w:rPr>
          <w:rFonts w:ascii="Times New Roman" w:eastAsia="仿宋_GB2312" w:hAnsi="Times New Roman" w:hint="eastAsia"/>
          <w:sz w:val="32"/>
          <w:szCs w:val="32"/>
        </w:rPr>
        <w:t>设计、宣传视频）的著作权登记，实现商标与著作权协同保护。​</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商业秘密全流程管控：在开发过程中划定商业秘密保护范围（如未公开的生产工艺、配方、算法、客户名单、营销计划、成本数据等），制定涉密文件管理规范（如加密存储、标识标注、限权访问），对参与开发的内部人员、外部合作方开展保密培训；建立商业秘密使用与流转台账，跟踪涉密信息传递路径，定期开展保密检查，防范开发过程中商业秘密</w:t>
      </w:r>
      <w:r>
        <w:rPr>
          <w:rFonts w:ascii="Times New Roman" w:eastAsia="仿宋_GB2312" w:hAnsi="Times New Roman" w:hint="eastAsia"/>
          <w:sz w:val="32"/>
          <w:szCs w:val="32"/>
        </w:rPr>
        <w:lastRenderedPageBreak/>
        <w:t>泄露。​</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知识产权与产品开发进度协同：建立知识产权与开发进度的联动机制，明确关键节点知识产权要求（如产品原型定型前完成核心专利申请、品牌标识确定后</w:t>
      </w:r>
      <w:r>
        <w:rPr>
          <w:rFonts w:ascii="Times New Roman" w:eastAsia="仿宋_GB2312" w:hAnsi="Times New Roman" w:hint="eastAsia"/>
          <w:sz w:val="32"/>
          <w:szCs w:val="32"/>
        </w:rPr>
        <w:t>3</w:t>
      </w:r>
      <w:r>
        <w:rPr>
          <w:rFonts w:ascii="Times New Roman" w:eastAsia="仿宋_GB2312" w:hAnsi="Times New Roman" w:hint="eastAsia"/>
          <w:sz w:val="32"/>
          <w:szCs w:val="32"/>
        </w:rPr>
        <w:t>个工作日内启动商标注册、软件程序开发完成后</w:t>
      </w:r>
      <w:r>
        <w:rPr>
          <w:rFonts w:ascii="Times New Roman" w:eastAsia="仿宋_GB2312" w:hAnsi="Times New Roman" w:hint="eastAsia"/>
          <w:sz w:val="32"/>
          <w:szCs w:val="32"/>
        </w:rPr>
        <w:t>15</w:t>
      </w:r>
      <w:r>
        <w:rPr>
          <w:rFonts w:ascii="Times New Roman" w:eastAsia="仿宋_GB2312" w:hAnsi="Times New Roman" w:hint="eastAsia"/>
          <w:sz w:val="32"/>
          <w:szCs w:val="32"/>
        </w:rPr>
        <w:t>个工作日内办理著作权登记），确保知识产权保护与产品开发同步推进，避免成果泄露或被抢注。</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第十五条</w:t>
      </w:r>
      <w:r>
        <w:rPr>
          <w:rFonts w:ascii="Times New Roman" w:eastAsia="黑体" w:hAnsi="Times New Roman" w:cs="黑体"/>
          <w:sz w:val="32"/>
          <w:szCs w:val="32"/>
        </w:rPr>
        <w:t xml:space="preserve"> </w:t>
      </w:r>
      <w:r>
        <w:rPr>
          <w:rFonts w:ascii="Times New Roman" w:eastAsia="黑体" w:hAnsi="Times New Roman" w:cs="黑体"/>
          <w:sz w:val="32"/>
          <w:szCs w:val="32"/>
        </w:rPr>
        <w:t>常用工具与方法</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全品类知识产权风险应对策略工具箱：整合专利、商标、著作权、商业秘密风险应对模块，包括：专利侵权风险的规避设计模板、许可谈判流程规范；商标权利冲突风险的标识调整指南、权利转让</w:t>
      </w:r>
      <w:r>
        <w:rPr>
          <w:rFonts w:ascii="Times New Roman" w:eastAsia="仿宋_GB2312" w:hAnsi="Times New Roman" w:hint="eastAsia"/>
          <w:sz w:val="32"/>
          <w:szCs w:val="32"/>
        </w:rPr>
        <w:t>/</w:t>
      </w:r>
      <w:r>
        <w:rPr>
          <w:rFonts w:ascii="Times New Roman" w:eastAsia="仿宋_GB2312" w:hAnsi="Times New Roman" w:hint="eastAsia"/>
          <w:sz w:val="32"/>
          <w:szCs w:val="32"/>
        </w:rPr>
        <w:t>许可协议模板；著作权侵权风险的内容优化工具、合理使用界定标准；商业秘密泄露风险的应急处置预案、侵权追责流程，形成“预防</w:t>
      </w:r>
      <w:r>
        <w:rPr>
          <w:rFonts w:ascii="Times New Roman" w:eastAsia="仿宋_GB2312" w:hAnsi="Times New Roman" w:hint="eastAsia"/>
          <w:sz w:val="32"/>
          <w:szCs w:val="32"/>
        </w:rPr>
        <w:t>-</w:t>
      </w:r>
      <w:r>
        <w:rPr>
          <w:rFonts w:ascii="Times New Roman" w:eastAsia="仿宋_GB2312" w:hAnsi="Times New Roman" w:hint="eastAsia"/>
          <w:sz w:val="32"/>
          <w:szCs w:val="32"/>
        </w:rPr>
        <w:t>应对</w:t>
      </w:r>
      <w:r>
        <w:rPr>
          <w:rFonts w:ascii="Times New Roman" w:eastAsia="仿宋_GB2312" w:hAnsi="Times New Roman" w:hint="eastAsia"/>
          <w:sz w:val="32"/>
          <w:szCs w:val="32"/>
        </w:rPr>
        <w:t>-</w:t>
      </w:r>
      <w:r>
        <w:rPr>
          <w:rFonts w:ascii="Times New Roman" w:eastAsia="仿宋_GB2312" w:hAnsi="Times New Roman" w:hint="eastAsia"/>
          <w:sz w:val="32"/>
          <w:szCs w:val="32"/>
        </w:rPr>
        <w:t>追偿”全链条解决方案，保障各类创新成果合法落地。​</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多场景外部合作合同模板库：包含技术开发合同、品牌设计合同、作品创作合同、外包服务合同等标准化模板，均嵌入详细知识产权条款：明确背景</w:t>
      </w:r>
      <w:r>
        <w:rPr>
          <w:rFonts w:ascii="Times New Roman" w:eastAsia="仿宋_GB2312" w:hAnsi="Times New Roman" w:hint="eastAsia"/>
          <w:sz w:val="32"/>
          <w:szCs w:val="32"/>
        </w:rPr>
        <w:t>/</w:t>
      </w:r>
      <w:r>
        <w:rPr>
          <w:rFonts w:ascii="Times New Roman" w:eastAsia="仿宋_GB2312" w:hAnsi="Times New Roman" w:hint="eastAsia"/>
          <w:sz w:val="32"/>
          <w:szCs w:val="32"/>
        </w:rPr>
        <w:t>前景知识产权（专利、商标、著作权、商业秘密）的权属划分、使用权限、收益分配；商业秘密保密义务（涉密范围、期限、违约责任）；侵权责任划分与追偿机制；知识产权成果交付标准与验收流程，从源头规避外部合作中的知识产权纠纷。​</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全维度知识产权组合管理地图：可视化呈现企业专利、商标、著作权、商业秘密的布局结构与竞争态势，支持按技</w:t>
      </w:r>
      <w:r>
        <w:rPr>
          <w:rFonts w:ascii="Times New Roman" w:eastAsia="仿宋_GB2312" w:hAnsi="Times New Roman" w:hint="eastAsia"/>
          <w:sz w:val="32"/>
          <w:szCs w:val="32"/>
        </w:rPr>
        <w:lastRenderedPageBreak/>
        <w:t>术领域、品牌类别、作品类型、秘密等级分类展示；标注各类知识产权的权利状态（如专利在审</w:t>
      </w:r>
      <w:r>
        <w:rPr>
          <w:rFonts w:ascii="Times New Roman" w:eastAsia="仿宋_GB2312" w:hAnsi="Times New Roman" w:hint="eastAsia"/>
          <w:sz w:val="32"/>
          <w:szCs w:val="32"/>
        </w:rPr>
        <w:t>/</w:t>
      </w:r>
      <w:r>
        <w:rPr>
          <w:rFonts w:ascii="Times New Roman" w:eastAsia="仿宋_GB2312" w:hAnsi="Times New Roman" w:hint="eastAsia"/>
          <w:sz w:val="32"/>
          <w:szCs w:val="32"/>
        </w:rPr>
        <w:t>授权、商标注册</w:t>
      </w:r>
      <w:r>
        <w:rPr>
          <w:rFonts w:ascii="Times New Roman" w:eastAsia="仿宋_GB2312" w:hAnsi="Times New Roman" w:hint="eastAsia"/>
          <w:sz w:val="32"/>
          <w:szCs w:val="32"/>
        </w:rPr>
        <w:t>/</w:t>
      </w:r>
      <w:r>
        <w:rPr>
          <w:rFonts w:ascii="Times New Roman" w:eastAsia="仿宋_GB2312" w:hAnsi="Times New Roman" w:hint="eastAsia"/>
          <w:sz w:val="32"/>
          <w:szCs w:val="32"/>
        </w:rPr>
        <w:t>续展、著作权登记</w:t>
      </w:r>
      <w:r>
        <w:rPr>
          <w:rFonts w:ascii="Times New Roman" w:eastAsia="仿宋_GB2312" w:hAnsi="Times New Roman" w:hint="eastAsia"/>
          <w:sz w:val="32"/>
          <w:szCs w:val="32"/>
        </w:rPr>
        <w:t>/</w:t>
      </w:r>
      <w:r>
        <w:rPr>
          <w:rFonts w:ascii="Times New Roman" w:eastAsia="仿宋_GB2312" w:hAnsi="Times New Roman" w:hint="eastAsia"/>
          <w:sz w:val="32"/>
          <w:szCs w:val="32"/>
        </w:rPr>
        <w:t>有效）、保护范围、目标市场、关联产品</w:t>
      </w:r>
      <w:r>
        <w:rPr>
          <w:rFonts w:ascii="Times New Roman" w:eastAsia="仿宋_GB2312" w:hAnsi="Times New Roman" w:hint="eastAsia"/>
          <w:sz w:val="32"/>
          <w:szCs w:val="32"/>
        </w:rPr>
        <w:t>/</w:t>
      </w:r>
      <w:r>
        <w:rPr>
          <w:rFonts w:ascii="Times New Roman" w:eastAsia="仿宋_GB2312" w:hAnsi="Times New Roman" w:hint="eastAsia"/>
          <w:sz w:val="32"/>
          <w:szCs w:val="32"/>
        </w:rPr>
        <w:t>服务；具备竞品知识产权布局对比功能，支撑知识产权资产的优化配置、协同运营与战略决策。</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四维信息监控平台：整合专利数据库（如国家知识产权局专利检索系统、</w:t>
      </w:r>
      <w:r>
        <w:rPr>
          <w:rFonts w:ascii="Times New Roman" w:eastAsia="仿宋_GB2312" w:hAnsi="Times New Roman" w:hint="eastAsia"/>
          <w:sz w:val="32"/>
          <w:szCs w:val="32"/>
        </w:rPr>
        <w:t>incoPat</w:t>
      </w:r>
      <w:r>
        <w:rPr>
          <w:rFonts w:ascii="Times New Roman" w:eastAsia="仿宋_GB2312" w:hAnsi="Times New Roman" w:hint="eastAsia"/>
          <w:sz w:val="32"/>
          <w:szCs w:val="32"/>
        </w:rPr>
        <w:t>）、商标数据库（如商标局官网、权大师）、著作权登记平台（如中国版权保护中心）、商业秘密动态监测工具，设置核心关键词（技术术语、品牌名称、作品名称、核心秘密关键词）与监控频率，自动抓取竞品知识产权申请</w:t>
      </w:r>
      <w:r>
        <w:rPr>
          <w:rFonts w:ascii="Times New Roman" w:eastAsia="仿宋_GB2312" w:hAnsi="Times New Roman" w:hint="eastAsia"/>
          <w:sz w:val="32"/>
          <w:szCs w:val="32"/>
        </w:rPr>
        <w:t>/</w:t>
      </w:r>
      <w:r>
        <w:rPr>
          <w:rFonts w:ascii="Times New Roman" w:eastAsia="仿宋_GB2312" w:hAnsi="Times New Roman" w:hint="eastAsia"/>
          <w:sz w:val="32"/>
          <w:szCs w:val="32"/>
        </w:rPr>
        <w:t>授权、使用</w:t>
      </w:r>
      <w:r>
        <w:rPr>
          <w:rFonts w:ascii="Times New Roman" w:eastAsia="仿宋_GB2312" w:hAnsi="Times New Roman" w:hint="eastAsia"/>
          <w:sz w:val="32"/>
          <w:szCs w:val="32"/>
        </w:rPr>
        <w:t>/</w:t>
      </w:r>
      <w:r>
        <w:rPr>
          <w:rFonts w:ascii="Times New Roman" w:eastAsia="仿宋_GB2312" w:hAnsi="Times New Roman" w:hint="eastAsia"/>
          <w:sz w:val="32"/>
          <w:szCs w:val="32"/>
        </w:rPr>
        <w:t>转让、纠纷等动态，生成定期监控报告，为方案优化提供数据支撑。</w:t>
      </w:r>
      <w:r>
        <w:rPr>
          <w:rFonts w:ascii="Times New Roman" w:eastAsia="仿宋_GB2312" w:hAnsi="Times New Roman" w:hint="eastAsia"/>
          <w:sz w:val="32"/>
          <w:szCs w:val="32"/>
        </w:rPr>
        <w:t xml:space="preserve"> </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商标布局规划工具：包括商标类别选择矩阵（基于产品</w:t>
      </w:r>
      <w:r>
        <w:rPr>
          <w:rFonts w:ascii="Times New Roman" w:eastAsia="仿宋_GB2312" w:hAnsi="Times New Roman" w:hint="eastAsia"/>
          <w:sz w:val="32"/>
          <w:szCs w:val="32"/>
        </w:rPr>
        <w:t>/</w:t>
      </w:r>
      <w:r>
        <w:rPr>
          <w:rFonts w:ascii="Times New Roman" w:eastAsia="仿宋_GB2312" w:hAnsi="Times New Roman" w:hint="eastAsia"/>
          <w:sz w:val="32"/>
          <w:szCs w:val="32"/>
        </w:rPr>
        <w:t>服务属性匹配核心及关联类别）、马德里国际注册流程指引、防御商标</w:t>
      </w:r>
      <w:r>
        <w:rPr>
          <w:rFonts w:ascii="Times New Roman" w:eastAsia="仿宋_GB2312" w:hAnsi="Times New Roman" w:hint="eastAsia"/>
          <w:sz w:val="32"/>
          <w:szCs w:val="32"/>
        </w:rPr>
        <w:t>/</w:t>
      </w:r>
      <w:r>
        <w:rPr>
          <w:rFonts w:ascii="Times New Roman" w:eastAsia="仿宋_GB2312" w:hAnsi="Times New Roman" w:hint="eastAsia"/>
          <w:sz w:val="32"/>
          <w:szCs w:val="32"/>
        </w:rPr>
        <w:t>联合商标布局模板、商标显著性评估量表，辅助企业精准规划商标注册范围与地域布局，提高商标保护的全面性与针对性。</w:t>
      </w:r>
      <w:r>
        <w:rPr>
          <w:rFonts w:ascii="Times New Roman" w:eastAsia="仿宋_GB2312" w:hAnsi="Times New Roman" w:hint="eastAsia"/>
          <w:sz w:val="32"/>
          <w:szCs w:val="32"/>
        </w:rPr>
        <w:br/>
        <w:t xml:space="preserve">    6.</w:t>
      </w:r>
      <w:r>
        <w:rPr>
          <w:rFonts w:ascii="Times New Roman" w:eastAsia="仿宋_GB2312" w:hAnsi="Times New Roman" w:hint="eastAsia"/>
          <w:sz w:val="32"/>
          <w:szCs w:val="32"/>
        </w:rPr>
        <w:t>著作权登记管理工具包：包含不同类型作品（美术、文字、软件、视频等）的著作权登记申请表模板、创作说明撰写规范、作品样本整理标准、登记流程指引，配套登记进度跟踪台账，确保著作权登记高效合规，明确权利归属与保护范围。​</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商业秘密分级保护工具系统：涵盖商业秘密界定标准量表、保密等级划分模板（核心级</w:t>
      </w:r>
      <w:r>
        <w:rPr>
          <w:rFonts w:ascii="Times New Roman" w:eastAsia="仿宋_GB2312" w:hAnsi="Times New Roman" w:hint="eastAsia"/>
          <w:sz w:val="32"/>
          <w:szCs w:val="32"/>
        </w:rPr>
        <w:t>/</w:t>
      </w:r>
      <w:r>
        <w:rPr>
          <w:rFonts w:ascii="Times New Roman" w:eastAsia="仿宋_GB2312" w:hAnsi="Times New Roman" w:hint="eastAsia"/>
          <w:sz w:val="32"/>
          <w:szCs w:val="32"/>
        </w:rPr>
        <w:t>重要级</w:t>
      </w:r>
      <w:r>
        <w:rPr>
          <w:rFonts w:ascii="Times New Roman" w:eastAsia="仿宋_GB2312" w:hAnsi="Times New Roman" w:hint="eastAsia"/>
          <w:sz w:val="32"/>
          <w:szCs w:val="32"/>
        </w:rPr>
        <w:t>/</w:t>
      </w:r>
      <w:r>
        <w:rPr>
          <w:rFonts w:ascii="Times New Roman" w:eastAsia="仿宋_GB2312" w:hAnsi="Times New Roman" w:hint="eastAsia"/>
          <w:sz w:val="32"/>
          <w:szCs w:val="32"/>
        </w:rPr>
        <w:t>一般级）、涉密文</w:t>
      </w:r>
      <w:r>
        <w:rPr>
          <w:rFonts w:ascii="Times New Roman" w:eastAsia="仿宋_GB2312" w:hAnsi="Times New Roman" w:hint="eastAsia"/>
          <w:sz w:val="32"/>
          <w:szCs w:val="32"/>
        </w:rPr>
        <w:lastRenderedPageBreak/>
        <w:t>件标识规范、加密存储工具（如文档加密软件、权限管理系统）、保密培训课件与考核题库、保密检查清单，形成“界定</w:t>
      </w:r>
      <w:r>
        <w:rPr>
          <w:rFonts w:ascii="Times New Roman" w:eastAsia="仿宋_GB2312" w:hAnsi="Times New Roman" w:hint="eastAsia"/>
          <w:sz w:val="32"/>
          <w:szCs w:val="32"/>
        </w:rPr>
        <w:t>-</w:t>
      </w:r>
      <w:r>
        <w:rPr>
          <w:rFonts w:ascii="Times New Roman" w:eastAsia="仿宋_GB2312" w:hAnsi="Times New Roman" w:hint="eastAsia"/>
          <w:sz w:val="32"/>
          <w:szCs w:val="32"/>
        </w:rPr>
        <w:t>分级</w:t>
      </w:r>
      <w:r>
        <w:rPr>
          <w:rFonts w:ascii="Times New Roman" w:eastAsia="仿宋_GB2312" w:hAnsi="Times New Roman" w:hint="eastAsia"/>
          <w:sz w:val="32"/>
          <w:szCs w:val="32"/>
        </w:rPr>
        <w:t>-</w:t>
      </w:r>
      <w:r>
        <w:rPr>
          <w:rFonts w:ascii="Times New Roman" w:eastAsia="仿宋_GB2312" w:hAnsi="Times New Roman" w:hint="eastAsia"/>
          <w:sz w:val="32"/>
          <w:szCs w:val="32"/>
        </w:rPr>
        <w:t>保护</w:t>
      </w:r>
      <w:r>
        <w:rPr>
          <w:rFonts w:ascii="Times New Roman" w:eastAsia="仿宋_GB2312" w:hAnsi="Times New Roman" w:hint="eastAsia"/>
          <w:sz w:val="32"/>
          <w:szCs w:val="32"/>
        </w:rPr>
        <w:t>-</w:t>
      </w:r>
      <w:r>
        <w:rPr>
          <w:rFonts w:ascii="Times New Roman" w:eastAsia="仿宋_GB2312" w:hAnsi="Times New Roman" w:hint="eastAsia"/>
          <w:sz w:val="32"/>
          <w:szCs w:val="32"/>
        </w:rPr>
        <w:t>监督”全流程工具支撑，强化商业秘密管控。​</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知识产权与开发进度协同管理看板：可视化呈现产品开发关键节点（如原型定型、批量生产、市场投放）与对应知识产权任务（专利申请、商标注册、著作权登记、保密措施落实）的联动关系，设置任务“</w:t>
      </w:r>
      <w:r>
        <w:rPr>
          <w:rFonts w:ascii="Times New Roman" w:eastAsia="仿宋_GB2312" w:hAnsi="Times New Roman" w:hint="eastAsia"/>
          <w:sz w:val="32"/>
          <w:szCs w:val="32"/>
        </w:rPr>
        <w:t>deadlines</w:t>
      </w:r>
      <w:r>
        <w:rPr>
          <w:rFonts w:ascii="Times New Roman" w:eastAsia="仿宋_GB2312" w:hAnsi="Times New Roman" w:hint="eastAsia"/>
          <w:sz w:val="32"/>
          <w:szCs w:val="32"/>
        </w:rPr>
        <w:t>”与预警机制，跟踪各项知识产权工作推进进度，确保与产品开发同步完成。</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知识产权许可</w:t>
      </w:r>
      <w:r>
        <w:rPr>
          <w:rFonts w:ascii="Times New Roman" w:eastAsia="仿宋_GB2312" w:hAnsi="Times New Roman" w:hint="eastAsia"/>
          <w:sz w:val="32"/>
          <w:szCs w:val="32"/>
        </w:rPr>
        <w:t>/</w:t>
      </w:r>
      <w:r>
        <w:rPr>
          <w:rFonts w:ascii="Times New Roman" w:eastAsia="仿宋_GB2312" w:hAnsi="Times New Roman" w:hint="eastAsia"/>
          <w:sz w:val="32"/>
          <w:szCs w:val="32"/>
        </w:rPr>
        <w:t>转让协议模板：规范专利、商标、著作权、商业秘密的许可</w:t>
      </w:r>
      <w:r>
        <w:rPr>
          <w:rFonts w:ascii="Times New Roman" w:eastAsia="仿宋_GB2312" w:hAnsi="Times New Roman" w:hint="eastAsia"/>
          <w:sz w:val="32"/>
          <w:szCs w:val="32"/>
        </w:rPr>
        <w:t>/</w:t>
      </w:r>
      <w:r>
        <w:rPr>
          <w:rFonts w:ascii="Times New Roman" w:eastAsia="仿宋_GB2312" w:hAnsi="Times New Roman" w:hint="eastAsia"/>
          <w:sz w:val="32"/>
          <w:szCs w:val="32"/>
        </w:rPr>
        <w:t>转让流程，明确许可类型（独占</w:t>
      </w:r>
      <w:r>
        <w:rPr>
          <w:rFonts w:ascii="Times New Roman" w:eastAsia="仿宋_GB2312" w:hAnsi="Times New Roman" w:hint="eastAsia"/>
          <w:sz w:val="32"/>
          <w:szCs w:val="32"/>
        </w:rPr>
        <w:t>/</w:t>
      </w:r>
      <w:r>
        <w:rPr>
          <w:rFonts w:ascii="Times New Roman" w:eastAsia="仿宋_GB2312" w:hAnsi="Times New Roman" w:hint="eastAsia"/>
          <w:sz w:val="32"/>
          <w:szCs w:val="32"/>
        </w:rPr>
        <w:t>排他</w:t>
      </w:r>
      <w:r>
        <w:rPr>
          <w:rFonts w:ascii="Times New Roman" w:eastAsia="仿宋_GB2312" w:hAnsi="Times New Roman" w:hint="eastAsia"/>
          <w:sz w:val="32"/>
          <w:szCs w:val="32"/>
        </w:rPr>
        <w:t>/</w:t>
      </w:r>
      <w:r>
        <w:rPr>
          <w:rFonts w:ascii="Times New Roman" w:eastAsia="仿宋_GB2312" w:hAnsi="Times New Roman" w:hint="eastAsia"/>
          <w:sz w:val="32"/>
          <w:szCs w:val="32"/>
        </w:rPr>
        <w:t>普通许可）、使用范围、期限、费用结算方式、保密义务、违约责任等核心条款，为知识产权流转与价值实现提供标准化法律文本支持。</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p>
    <w:p w:rsidR="00635533" w:rsidRDefault="00635533" w:rsidP="00635533">
      <w:pPr>
        <w:spacing w:line="580" w:lineRule="exact"/>
        <w:jc w:val="center"/>
        <w:outlineLvl w:val="1"/>
        <w:rPr>
          <w:rFonts w:ascii="Times New Roman" w:eastAsia="楷体_GB2312" w:hAnsi="Times New Roman" w:cs="楷体_GB2312"/>
          <w:sz w:val="32"/>
          <w:szCs w:val="32"/>
        </w:rPr>
      </w:pPr>
      <w:r>
        <w:rPr>
          <w:rFonts w:ascii="Times New Roman" w:eastAsia="楷体_GB2312" w:hAnsi="Times New Roman" w:cs="楷体_GB2312"/>
          <w:sz w:val="32"/>
          <w:szCs w:val="32"/>
        </w:rPr>
        <w:t>第五节</w:t>
      </w:r>
      <w:r>
        <w:rPr>
          <w:rFonts w:ascii="Times New Roman" w:eastAsia="楷体_GB2312" w:hAnsi="Times New Roman" w:cs="楷体_GB2312"/>
          <w:sz w:val="32"/>
          <w:szCs w:val="32"/>
        </w:rPr>
        <w:t xml:space="preserve"> </w:t>
      </w:r>
      <w:r>
        <w:rPr>
          <w:rFonts w:ascii="Times New Roman" w:eastAsia="楷体_GB2312" w:hAnsi="Times New Roman" w:cs="楷体_GB2312"/>
          <w:sz w:val="32"/>
          <w:szCs w:val="32"/>
        </w:rPr>
        <w:t>部署方案阶段</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第十六条</w:t>
      </w:r>
      <w:r>
        <w:rPr>
          <w:rFonts w:ascii="Times New Roman" w:eastAsia="黑体" w:hAnsi="Times New Roman" w:cs="黑体"/>
          <w:sz w:val="32"/>
          <w:szCs w:val="32"/>
        </w:rPr>
        <w:t xml:space="preserve"> </w:t>
      </w:r>
      <w:r>
        <w:rPr>
          <w:rFonts w:ascii="Times New Roman" w:eastAsia="黑体" w:hAnsi="Times New Roman" w:cs="黑体"/>
          <w:sz w:val="32"/>
          <w:szCs w:val="32"/>
        </w:rPr>
        <w:t>管理目标</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将解决方案成功推向市场，在商业化过程中持续实现、监控和优化专利、商标、著作权、商业秘密的综合价值，建立全品类知识产权市场风险防控体系，保障市场运营合法合规，强化核心知识产权的市场竞争力。</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第十七条</w:t>
      </w:r>
      <w:r>
        <w:rPr>
          <w:rFonts w:ascii="Times New Roman" w:eastAsia="黑体" w:hAnsi="Times New Roman" w:cs="黑体"/>
          <w:sz w:val="32"/>
          <w:szCs w:val="32"/>
        </w:rPr>
        <w:t xml:space="preserve"> </w:t>
      </w:r>
      <w:r>
        <w:rPr>
          <w:rFonts w:ascii="Times New Roman" w:eastAsia="黑体" w:hAnsi="Times New Roman" w:cs="黑体"/>
          <w:sz w:val="32"/>
          <w:szCs w:val="32"/>
        </w:rPr>
        <w:t>主要任务</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上市前全维度合规检查：在产品上市销售前，开展知识产权合规全景审核：专利层面核查产品技术方案是否符合</w:t>
      </w:r>
      <w:r>
        <w:rPr>
          <w:rFonts w:ascii="Times New Roman" w:eastAsia="仿宋_GB2312" w:hAnsi="Times New Roman" w:hint="eastAsia"/>
          <w:sz w:val="32"/>
          <w:szCs w:val="32"/>
        </w:rPr>
        <w:t>FTO</w:t>
      </w:r>
      <w:r>
        <w:rPr>
          <w:rFonts w:ascii="Times New Roman" w:eastAsia="仿宋_GB2312" w:hAnsi="Times New Roman" w:hint="eastAsia"/>
          <w:sz w:val="32"/>
          <w:szCs w:val="32"/>
        </w:rPr>
        <w:t>分析结论，规避风险专利；商标层面确认产品</w:t>
      </w:r>
      <w:r>
        <w:rPr>
          <w:rFonts w:ascii="Times New Roman" w:eastAsia="仿宋_GB2312" w:hAnsi="Times New Roman" w:hint="eastAsia"/>
          <w:sz w:val="32"/>
          <w:szCs w:val="32"/>
        </w:rPr>
        <w:t>/</w:t>
      </w:r>
      <w:r>
        <w:rPr>
          <w:rFonts w:ascii="Times New Roman" w:eastAsia="仿宋_GB2312" w:hAnsi="Times New Roman" w:hint="eastAsia"/>
          <w:sz w:val="32"/>
          <w:szCs w:val="32"/>
        </w:rPr>
        <w:t>包装</w:t>
      </w:r>
      <w:r>
        <w:rPr>
          <w:rFonts w:ascii="Times New Roman" w:eastAsia="仿宋_GB2312" w:hAnsi="Times New Roman" w:hint="eastAsia"/>
          <w:sz w:val="32"/>
          <w:szCs w:val="32"/>
        </w:rPr>
        <w:t>/</w:t>
      </w:r>
      <w:r>
        <w:rPr>
          <w:rFonts w:ascii="Times New Roman" w:eastAsia="仿宋_GB2312" w:hAnsi="Times New Roman" w:hint="eastAsia"/>
          <w:sz w:val="32"/>
          <w:szCs w:val="32"/>
        </w:rPr>
        <w:t>宣</w:t>
      </w:r>
      <w:r>
        <w:rPr>
          <w:rFonts w:ascii="Times New Roman" w:eastAsia="仿宋_GB2312" w:hAnsi="Times New Roman" w:hint="eastAsia"/>
          <w:sz w:val="32"/>
          <w:szCs w:val="32"/>
        </w:rPr>
        <w:lastRenderedPageBreak/>
        <w:t>传材料上的商标标识与注册证一致，使用类别、地域符合授权范围，无商标淡化、混淆风险；著作权层面核查产品包装设计、宣传文案、配套软件、视频素材等是否已取得著作权登记或合法授权，无侵权使用他人作品情况；商业秘密层面排查上市材料中是否存在未公开核心信息（如工艺参数、营销数据）泄露，确保产品、包装、宣传、营销等全链条知识产权合规，不侵犯第三方合法权益；数据知识产权登记使用前应对收集和加工处理的数据进行合规审查，防止危害国家安全、损害公共利益、侵犯他人合法权益。​</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全品类权利行使、维权与争议处理：建立常态化市场监控机制，跟踪专利侵权、商标假冒</w:t>
      </w:r>
      <w:r>
        <w:rPr>
          <w:rFonts w:ascii="Times New Roman" w:eastAsia="仿宋_GB2312" w:hAnsi="Times New Roman" w:hint="eastAsia"/>
          <w:sz w:val="32"/>
          <w:szCs w:val="32"/>
        </w:rPr>
        <w:t>/</w:t>
      </w:r>
      <w:r>
        <w:rPr>
          <w:rFonts w:ascii="Times New Roman" w:eastAsia="仿宋_GB2312" w:hAnsi="Times New Roman" w:hint="eastAsia"/>
          <w:sz w:val="32"/>
          <w:szCs w:val="32"/>
        </w:rPr>
        <w:t>仿冒、著作权盗版</w:t>
      </w:r>
      <w:r>
        <w:rPr>
          <w:rFonts w:ascii="Times New Roman" w:eastAsia="仿宋_GB2312" w:hAnsi="Times New Roman" w:hint="eastAsia"/>
          <w:sz w:val="32"/>
          <w:szCs w:val="32"/>
        </w:rPr>
        <w:t>/</w:t>
      </w:r>
      <w:r>
        <w:rPr>
          <w:rFonts w:ascii="Times New Roman" w:eastAsia="仿宋_GB2312" w:hAnsi="Times New Roman" w:hint="eastAsia"/>
          <w:sz w:val="32"/>
          <w:szCs w:val="32"/>
        </w:rPr>
        <w:t>抄袭、商业秘密泄露等侵权行为：对专利侵权行为，采取发送警告函、行政投诉、诉讼等措施；对商标侵权（如假冒商标、近似商标混淆），通过商标维权渠道（行政查处、民事诉讼）制止侵权，维护品牌声誉；对著作权侵权（如盗版复制、未经许可使用作品），启动著作权维权程序，要求停止侵权并索赔；对商业秘密泄露（如核心技术、客户名单被窃取使用），依据保密协议及相关法律追究侵权责任，同步采取证据固定、止损措施；对他人登记数据知识产权损害自身合法权益行为，及时提出登记异议或提请撤销登记，全方位维护自身各类知识产权。同时，在常态化市场监控过程中，定期对已上市在销产品开展评估，防范产品侵犯他人知识产权（上市时，对手专利等知识产权存在未公开情况等），及时采取规避、购买</w:t>
      </w:r>
      <w:r>
        <w:rPr>
          <w:rFonts w:ascii="Times New Roman" w:eastAsia="仿宋_GB2312" w:hAnsi="Times New Roman" w:hint="eastAsia"/>
          <w:sz w:val="32"/>
          <w:szCs w:val="32"/>
        </w:rPr>
        <w:t>/</w:t>
      </w:r>
      <w:r>
        <w:rPr>
          <w:rFonts w:ascii="Times New Roman" w:eastAsia="仿宋_GB2312" w:hAnsi="Times New Roman" w:hint="eastAsia"/>
          <w:sz w:val="32"/>
          <w:szCs w:val="32"/>
        </w:rPr>
        <w:t>付许可费、下市等方式化解风险。</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lastRenderedPageBreak/>
        <w:t>3.</w:t>
      </w:r>
      <w:r>
        <w:rPr>
          <w:rFonts w:ascii="Times New Roman" w:eastAsia="仿宋_GB2312" w:hAnsi="Times New Roman" w:hint="eastAsia"/>
          <w:sz w:val="32"/>
          <w:szCs w:val="32"/>
        </w:rPr>
        <w:t>多类型知识产权价值实现：制定知识产权价值运营方案，推动专利、商标、著作权、商业秘密的协同价值转化：专利可通过自行实施、对外许可、转让、作价入股、质押融资等方式变现；商标可通过品牌授权、联名合作、商标转让等实现品牌价值溢价；著作权可通过作品许可使用、版权转让、衍生品开发等获取收益；商业秘密可通过技术诀窍许可、核心资源合作等方式转化价值，形成“技术</w:t>
      </w:r>
      <w:r>
        <w:rPr>
          <w:rFonts w:ascii="Times New Roman" w:eastAsia="仿宋_GB2312" w:hAnsi="Times New Roman" w:hint="eastAsia"/>
          <w:sz w:val="32"/>
          <w:szCs w:val="32"/>
        </w:rPr>
        <w:t>+</w:t>
      </w:r>
      <w:r>
        <w:rPr>
          <w:rFonts w:ascii="Times New Roman" w:eastAsia="仿宋_GB2312" w:hAnsi="Times New Roman" w:hint="eastAsia"/>
          <w:sz w:val="32"/>
          <w:szCs w:val="32"/>
        </w:rPr>
        <w:t>品牌</w:t>
      </w:r>
      <w:r>
        <w:rPr>
          <w:rFonts w:ascii="Times New Roman" w:eastAsia="仿宋_GB2312" w:hAnsi="Times New Roman" w:hint="eastAsia"/>
          <w:sz w:val="32"/>
          <w:szCs w:val="32"/>
        </w:rPr>
        <w:t>+</w:t>
      </w:r>
      <w:r>
        <w:rPr>
          <w:rFonts w:ascii="Times New Roman" w:eastAsia="仿宋_GB2312" w:hAnsi="Times New Roman" w:hint="eastAsia"/>
          <w:sz w:val="32"/>
          <w:szCs w:val="32"/>
        </w:rPr>
        <w:t>作品</w:t>
      </w:r>
      <w:r>
        <w:rPr>
          <w:rFonts w:ascii="Times New Roman" w:eastAsia="仿宋_GB2312" w:hAnsi="Times New Roman" w:hint="eastAsia"/>
          <w:sz w:val="32"/>
          <w:szCs w:val="32"/>
        </w:rPr>
        <w:t>+</w:t>
      </w:r>
      <w:r>
        <w:rPr>
          <w:rFonts w:ascii="Times New Roman" w:eastAsia="仿宋_GB2312" w:hAnsi="Times New Roman" w:hint="eastAsia"/>
          <w:sz w:val="32"/>
          <w:szCs w:val="32"/>
        </w:rPr>
        <w:t>秘密”的多元价值实现路径。​</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全品类知识产权组合动态管理：定期（如每季度</w:t>
      </w:r>
      <w:r>
        <w:rPr>
          <w:rFonts w:ascii="Times New Roman" w:eastAsia="仿宋_GB2312" w:hAnsi="Times New Roman" w:hint="eastAsia"/>
          <w:sz w:val="32"/>
          <w:szCs w:val="32"/>
        </w:rPr>
        <w:t>/</w:t>
      </w:r>
      <w:r>
        <w:rPr>
          <w:rFonts w:ascii="Times New Roman" w:eastAsia="仿宋_GB2312" w:hAnsi="Times New Roman" w:hint="eastAsia"/>
          <w:sz w:val="32"/>
          <w:szCs w:val="32"/>
        </w:rPr>
        <w:t>每半年）开展知识产权资产盘点，从市场价值、战略适配性、抑制竞争对手、维护成本等维度，评估专利、商标、著作权、商业秘密的存续价值：对不再具有战略价值的专利，可选择放弃或转让；对未使用且无市场需求的商标，可办理注销或转让；对已过时的作品著作权，可停止维护或授权他人使用；对已丧失秘密性的商业秘密，及时调整保护策略（如转为专利保护），优化知识产权组合结构，降低管理成本。对于通过验收或已获得知识产权的研发项目，企业应在规定时限内办理科技成果登记，将《科技成果登记证书》作为知识产权资产管理的依据之一，实现台账对应；涉及国家秘密的成果，按照国家科技保密有关规定管理。</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基于全品类信息的创新机会识别：通过知识产权导航、全景分析工具，持续监测目标领域的专利申请动态、商标布局变化、著作权创作趋势、商业秘密保护热点，结合技术发展趋势、行业标准更新、市场竞争格局变化，从技术突破、</w:t>
      </w:r>
      <w:r>
        <w:rPr>
          <w:rFonts w:ascii="Times New Roman" w:eastAsia="仿宋_GB2312" w:hAnsi="Times New Roman" w:hint="eastAsia"/>
          <w:sz w:val="32"/>
          <w:szCs w:val="32"/>
        </w:rPr>
        <w:lastRenderedPageBreak/>
        <w:t>品牌创新、作品创作、秘密培育等维度识别新的创新机会，精准研判各类知识产权的执行难度、保护期限、市场价值，为企业后续创新决策提供数据支撑。​</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商业秘密持续保护与风险防控：在市场运营过程中，强化商业秘密保护：对客户名单、营销计划、销售数据、成本核算等核心商业信息，建立访问权限管控与使用记录台账；与经销商、合作伙伴签订保密协议，明确商业秘密保护义务；定期开展商业秘密泄露风险排查，及时堵塞管理漏洞，防范市场运营中的秘密泄露。​</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品牌与著作权协同运营：将商标使用与著作权保护融入市场推广全流程，规范商标在产品包装、广告宣传、电商平台的使用规范，避免商标使用不当导致权利弱化；对宣传过程中产生的新作品（如广告视频、推广文案）及时办理著作权登记，同步监控竞品是否存在商标仿冒、著作权抄袭等行为，维护品牌与作品的市场唯一性。</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第十八条</w:t>
      </w:r>
      <w:r>
        <w:rPr>
          <w:rFonts w:ascii="Times New Roman" w:eastAsia="黑体" w:hAnsi="Times New Roman" w:cs="黑体"/>
          <w:sz w:val="32"/>
          <w:szCs w:val="32"/>
        </w:rPr>
        <w:t xml:space="preserve"> </w:t>
      </w:r>
      <w:r>
        <w:rPr>
          <w:rFonts w:ascii="Times New Roman" w:eastAsia="黑体" w:hAnsi="Times New Roman" w:cs="黑体"/>
          <w:sz w:val="32"/>
          <w:szCs w:val="32"/>
        </w:rPr>
        <w:t>常用工具与方法</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全品类产品上市知识产权合规清单：整合专利、商标、著作权、商业秘密四维合规核查模块，明确：专利层面需完成</w:t>
      </w:r>
      <w:r>
        <w:rPr>
          <w:rFonts w:ascii="Times New Roman" w:eastAsia="仿宋_GB2312" w:hAnsi="Times New Roman" w:hint="eastAsia"/>
          <w:sz w:val="32"/>
          <w:szCs w:val="32"/>
        </w:rPr>
        <w:t>FTO</w:t>
      </w:r>
      <w:r>
        <w:rPr>
          <w:rFonts w:ascii="Times New Roman" w:eastAsia="仿宋_GB2312" w:hAnsi="Times New Roman" w:hint="eastAsia"/>
          <w:sz w:val="32"/>
          <w:szCs w:val="32"/>
        </w:rPr>
        <w:t>最终验证、风险专利规避确认；商标层面需核查标识使用与注册证一致性、使用类别</w:t>
      </w:r>
      <w:r>
        <w:rPr>
          <w:rFonts w:ascii="Times New Roman" w:eastAsia="仿宋_GB2312" w:hAnsi="Times New Roman" w:hint="eastAsia"/>
          <w:sz w:val="32"/>
          <w:szCs w:val="32"/>
        </w:rPr>
        <w:t>/</w:t>
      </w:r>
      <w:r>
        <w:rPr>
          <w:rFonts w:ascii="Times New Roman" w:eastAsia="仿宋_GB2312" w:hAnsi="Times New Roman" w:hint="eastAsia"/>
          <w:sz w:val="32"/>
          <w:szCs w:val="32"/>
        </w:rPr>
        <w:t>地域合规性、无混淆风险承诺；著作权层面需完成作品登记证明核查、授权使用文件备案、侵权风险最终排查；商业秘密层面需开展上市材料涉密信息筛查、保密措施落实确认，配套合规审核流程与签字确认机制，确保产品全链条知识产权合法入市。​</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2.</w:t>
      </w:r>
      <w:r>
        <w:rPr>
          <w:rFonts w:ascii="Times New Roman" w:eastAsia="仿宋_GB2312" w:hAnsi="Times New Roman" w:hint="eastAsia"/>
          <w:sz w:val="32"/>
          <w:szCs w:val="32"/>
        </w:rPr>
        <w:t>多类型知识产权许可协议模板库：包含专利许可协议、商标授权使用协议、著作权许可合同、商业秘密许可协议等标准化模板，明确各类知识产权的许可类型（独占</w:t>
      </w:r>
      <w:r>
        <w:rPr>
          <w:rFonts w:ascii="Times New Roman" w:eastAsia="仿宋_GB2312" w:hAnsi="Times New Roman" w:hint="eastAsia"/>
          <w:sz w:val="32"/>
          <w:szCs w:val="32"/>
        </w:rPr>
        <w:t>/</w:t>
      </w:r>
      <w:r>
        <w:rPr>
          <w:rFonts w:ascii="Times New Roman" w:eastAsia="仿宋_GB2312" w:hAnsi="Times New Roman" w:hint="eastAsia"/>
          <w:sz w:val="32"/>
          <w:szCs w:val="32"/>
        </w:rPr>
        <w:t>排他</w:t>
      </w:r>
      <w:r>
        <w:rPr>
          <w:rFonts w:ascii="Times New Roman" w:eastAsia="仿宋_GB2312" w:hAnsi="Times New Roman" w:hint="eastAsia"/>
          <w:sz w:val="32"/>
          <w:szCs w:val="32"/>
        </w:rPr>
        <w:t>/</w:t>
      </w:r>
      <w:r>
        <w:rPr>
          <w:rFonts w:ascii="Times New Roman" w:eastAsia="仿宋_GB2312" w:hAnsi="Times New Roman" w:hint="eastAsia"/>
          <w:sz w:val="32"/>
          <w:szCs w:val="32"/>
        </w:rPr>
        <w:t>普通许可）、使用范围、地域限制、期限、费用结算方式、质量控制要求（尤其商标许可）、保密义务（尤其商业秘密许可）、违约责任等核心条款，同时提供跨品类知识产权组合许可协议模板，支撑多元价值转化。</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全品类知识产权资产定期评估与审计流程：制定标准化评估框架，涵盖专利、商标、著作权、商业秘密的法律状态核查（如专利有效性、商标续展情况、著作权保护期限）、市场价值评估（如专利技术转化率、商标品牌溢价、著作权收益规模、商业秘密经济价值）、管理效能评估（如维护成本、维权成功率、许可收益占比）；配套评估指标体系、审计工作底稿、报告模板，明确每季度</w:t>
      </w:r>
      <w:r>
        <w:rPr>
          <w:rFonts w:ascii="Times New Roman" w:eastAsia="仿宋_GB2312" w:hAnsi="Times New Roman" w:hint="eastAsia"/>
          <w:sz w:val="32"/>
          <w:szCs w:val="32"/>
        </w:rPr>
        <w:t>/</w:t>
      </w:r>
      <w:r>
        <w:rPr>
          <w:rFonts w:ascii="Times New Roman" w:eastAsia="仿宋_GB2312" w:hAnsi="Times New Roman" w:hint="eastAsia"/>
          <w:sz w:val="32"/>
          <w:szCs w:val="32"/>
        </w:rPr>
        <w:t>每半年的定期审计流程，支撑知识产权组合优化决策。​</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全维度市场监控与侵权调查机制：</w:t>
      </w:r>
      <w:r>
        <w:rPr>
          <w:rFonts w:ascii="Times New Roman" w:eastAsia="仿宋_GB2312" w:hAnsi="Times New Roman"/>
          <w:sz w:val="32"/>
          <w:szCs w:val="32"/>
        </w:rPr>
        <w:t>建立常态化市场侵权行为监测、取证与分析体系，</w:t>
      </w:r>
      <w:r>
        <w:rPr>
          <w:rFonts w:ascii="Times New Roman" w:eastAsia="仿宋_GB2312" w:hAnsi="Times New Roman" w:hint="eastAsia"/>
          <w:sz w:val="32"/>
          <w:szCs w:val="32"/>
        </w:rPr>
        <w:t>整合多渠道监控工具，包括：专利侵权监控平台（如专利预警系统、产品技术比对工具）、商标侵权监测工具（如电商平台关键词监控、线下市场巡查表单）、著作权侵权监测系统（如盗版资源检索工具、作品使用追踪平台）、商业秘密泄露调查工具（如涉密信息流转追溯系统、侵权证据固定模板）；建立“监测</w:t>
      </w:r>
      <w:r>
        <w:rPr>
          <w:rFonts w:ascii="Times New Roman" w:eastAsia="仿宋_GB2312" w:hAnsi="Times New Roman" w:hint="eastAsia"/>
          <w:sz w:val="32"/>
          <w:szCs w:val="32"/>
        </w:rPr>
        <w:t>-</w:t>
      </w:r>
      <w:r>
        <w:rPr>
          <w:rFonts w:ascii="Times New Roman" w:eastAsia="仿宋_GB2312" w:hAnsi="Times New Roman" w:hint="eastAsia"/>
          <w:sz w:val="32"/>
          <w:szCs w:val="32"/>
        </w:rPr>
        <w:t>取证</w:t>
      </w:r>
      <w:r>
        <w:rPr>
          <w:rFonts w:ascii="Times New Roman" w:eastAsia="仿宋_GB2312" w:hAnsi="Times New Roman" w:hint="eastAsia"/>
          <w:sz w:val="32"/>
          <w:szCs w:val="32"/>
        </w:rPr>
        <w:t>-</w:t>
      </w:r>
      <w:r>
        <w:rPr>
          <w:rFonts w:ascii="Times New Roman" w:eastAsia="仿宋_GB2312" w:hAnsi="Times New Roman" w:hint="eastAsia"/>
          <w:sz w:val="32"/>
          <w:szCs w:val="32"/>
        </w:rPr>
        <w:t>分析</w:t>
      </w:r>
      <w:r>
        <w:rPr>
          <w:rFonts w:ascii="Times New Roman" w:eastAsia="仿宋_GB2312" w:hAnsi="Times New Roman" w:hint="eastAsia"/>
          <w:sz w:val="32"/>
          <w:szCs w:val="32"/>
        </w:rPr>
        <w:t>-</w:t>
      </w:r>
      <w:r>
        <w:rPr>
          <w:rFonts w:ascii="Times New Roman" w:eastAsia="仿宋_GB2312" w:hAnsi="Times New Roman" w:hint="eastAsia"/>
          <w:sz w:val="32"/>
          <w:szCs w:val="32"/>
        </w:rPr>
        <w:t>处置”闭环流程，配套侵权证据固定指南（如公证取证流程、电子证据保全工具）、维权渠道选择矩阵（行政投诉</w:t>
      </w:r>
      <w:r>
        <w:rPr>
          <w:rFonts w:ascii="Times New Roman" w:eastAsia="仿宋_GB2312" w:hAnsi="Times New Roman" w:hint="eastAsia"/>
          <w:sz w:val="32"/>
          <w:szCs w:val="32"/>
        </w:rPr>
        <w:t>/</w:t>
      </w:r>
      <w:r>
        <w:rPr>
          <w:rFonts w:ascii="Times New Roman" w:eastAsia="仿宋_GB2312" w:hAnsi="Times New Roman" w:hint="eastAsia"/>
          <w:sz w:val="32"/>
          <w:szCs w:val="32"/>
        </w:rPr>
        <w:t>民事诉讼</w:t>
      </w:r>
      <w:r>
        <w:rPr>
          <w:rFonts w:ascii="Times New Roman" w:eastAsia="仿宋_GB2312" w:hAnsi="Times New Roman" w:hint="eastAsia"/>
          <w:sz w:val="32"/>
          <w:szCs w:val="32"/>
        </w:rPr>
        <w:t>/</w:t>
      </w:r>
      <w:r>
        <w:rPr>
          <w:rFonts w:ascii="Times New Roman" w:eastAsia="仿宋_GB2312" w:hAnsi="Times New Roman" w:hint="eastAsia"/>
          <w:sz w:val="32"/>
          <w:szCs w:val="32"/>
        </w:rPr>
        <w:t>仲裁</w:t>
      </w:r>
      <w:r>
        <w:rPr>
          <w:rFonts w:ascii="Times New Roman" w:eastAsia="仿宋_GB2312" w:hAnsi="Times New Roman" w:hint="eastAsia"/>
          <w:sz w:val="32"/>
          <w:szCs w:val="32"/>
        </w:rPr>
        <w:lastRenderedPageBreak/>
        <w:t>适配场景），及时发现并处置各类侵权行为</w:t>
      </w:r>
      <w:r>
        <w:rPr>
          <w:rFonts w:ascii="Times New Roman" w:eastAsia="仿宋_GB2312" w:hAnsi="Times New Roman"/>
          <w:sz w:val="32"/>
          <w:szCs w:val="32"/>
        </w:rPr>
        <w:t>，维护市场竞争秩序。</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商业秘密保护与风险排查工具包：包含商业秘密分级管理台账、涉密信息访问权限申请表、合作伙伴保密协议模板、市场运营涉密风险排查清单、泄露应急处置预案，配套涉密文件加密工具、数据脱敏软件，支撑客户名单、营销数据、成本信息等核心商业秘密的全流程保护。​</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品牌与著作权协同运营工具：包括商标使用规范手册（明确标识标注方式、使用场景限制、禁用情形）、著作权登记进度跟踪表、宣传作品版权审核清单、品牌联名合作知识产权协议模板，确保商标使用合规性与著作权保护及时性，避免权利弱化或侵权风险。​</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知识产权价值评估工具：涵盖专利技术价值评估模型（如收益法、成本法、市场法测算模板）、商标品牌价值评估指标体系（如市场占有率、品牌认知度、溢价能力）、著作权收益测算工具（如许可费率参考表、衍生品收益分配模板）、商业秘密价值评估量表（如保密成本、预期收益、泄露损失测算）、数据知识产权价值评价与应用指南（如法律属性、数据集合属性、算法规则属性、经济属性），为知识产权转让、作价入股、质押融资提供量化依据。</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创新机会识别与分析工具：包括全品类知识产权导航报告模板、行业知识产权全景分析平台、技术</w:t>
      </w:r>
      <w:r>
        <w:rPr>
          <w:rFonts w:ascii="Times New Roman" w:eastAsia="仿宋_GB2312" w:hAnsi="Times New Roman" w:hint="eastAsia"/>
          <w:sz w:val="32"/>
          <w:szCs w:val="32"/>
        </w:rPr>
        <w:t>-</w:t>
      </w:r>
      <w:r>
        <w:rPr>
          <w:rFonts w:ascii="Times New Roman" w:eastAsia="仿宋_GB2312" w:hAnsi="Times New Roman" w:hint="eastAsia"/>
          <w:sz w:val="32"/>
          <w:szCs w:val="32"/>
        </w:rPr>
        <w:t>品牌</w:t>
      </w:r>
      <w:r>
        <w:rPr>
          <w:rFonts w:ascii="Times New Roman" w:eastAsia="仿宋_GB2312" w:hAnsi="Times New Roman" w:hint="eastAsia"/>
          <w:sz w:val="32"/>
          <w:szCs w:val="32"/>
        </w:rPr>
        <w:t>-</w:t>
      </w:r>
      <w:r>
        <w:rPr>
          <w:rFonts w:ascii="Times New Roman" w:eastAsia="仿宋_GB2312" w:hAnsi="Times New Roman" w:hint="eastAsia"/>
          <w:sz w:val="32"/>
          <w:szCs w:val="32"/>
        </w:rPr>
        <w:t>作品</w:t>
      </w:r>
      <w:r>
        <w:rPr>
          <w:rFonts w:ascii="Times New Roman" w:eastAsia="仿宋_GB2312" w:hAnsi="Times New Roman" w:hint="eastAsia"/>
          <w:sz w:val="32"/>
          <w:szCs w:val="32"/>
        </w:rPr>
        <w:t>-</w:t>
      </w:r>
      <w:r>
        <w:rPr>
          <w:rFonts w:ascii="Times New Roman" w:eastAsia="仿宋_GB2312" w:hAnsi="Times New Roman" w:hint="eastAsia"/>
          <w:sz w:val="32"/>
          <w:szCs w:val="32"/>
        </w:rPr>
        <w:t>秘密协同创新机会评估矩阵，整合专利申请趋势、商标布局热点、著作权创作方向、商业秘密保护动态、数据知识产权应</w:t>
      </w:r>
      <w:r>
        <w:rPr>
          <w:rFonts w:ascii="Times New Roman" w:eastAsia="仿宋_GB2312" w:hAnsi="Times New Roman" w:hint="eastAsia"/>
          <w:sz w:val="32"/>
          <w:szCs w:val="32"/>
        </w:rPr>
        <w:lastRenderedPageBreak/>
        <w:t>用场景等数据，支撑新创新方向的精准研判。</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跨境知识产权合规与维权工具包：针对海外市场部署需求，提供目标国家</w:t>
      </w:r>
      <w:r>
        <w:rPr>
          <w:rFonts w:ascii="Times New Roman" w:eastAsia="仿宋_GB2312" w:hAnsi="Times New Roman" w:hint="eastAsia"/>
          <w:sz w:val="32"/>
          <w:szCs w:val="32"/>
        </w:rPr>
        <w:t>/</w:t>
      </w:r>
      <w:r>
        <w:rPr>
          <w:rFonts w:ascii="Times New Roman" w:eastAsia="仿宋_GB2312" w:hAnsi="Times New Roman" w:hint="eastAsia"/>
          <w:sz w:val="32"/>
          <w:szCs w:val="32"/>
        </w:rPr>
        <w:t>地区的专利、商标、著作权、商业秘密合规要求指引，配套跨境</w:t>
      </w:r>
      <w:r>
        <w:rPr>
          <w:rFonts w:ascii="Times New Roman" w:eastAsia="仿宋_GB2312" w:hAnsi="Times New Roman" w:hint="eastAsia"/>
          <w:sz w:val="32"/>
          <w:szCs w:val="32"/>
        </w:rPr>
        <w:t>FTO</w:t>
      </w:r>
      <w:r>
        <w:rPr>
          <w:rFonts w:ascii="Times New Roman" w:eastAsia="仿宋_GB2312" w:hAnsi="Times New Roman" w:hint="eastAsia"/>
          <w:sz w:val="32"/>
          <w:szCs w:val="32"/>
        </w:rPr>
        <w:t>分析报告模板、海外商标马德里注册流程工具、涉外知识产权维权渠道指南（如当地律师资源库、国际仲裁流程模板），降低跨境市场知识产权风险。</w:t>
      </w:r>
    </w:p>
    <w:p w:rsidR="00635533" w:rsidRDefault="00635533" w:rsidP="00635533">
      <w:pPr>
        <w:spacing w:line="580" w:lineRule="exact"/>
        <w:jc w:val="center"/>
        <w:outlineLvl w:val="0"/>
        <w:rPr>
          <w:rFonts w:ascii="Times New Roman" w:eastAsia="黑体" w:hAnsi="Times New Roman" w:cs="黑体"/>
          <w:sz w:val="32"/>
          <w:szCs w:val="32"/>
        </w:rPr>
      </w:pPr>
    </w:p>
    <w:p w:rsidR="00635533" w:rsidRDefault="00635533" w:rsidP="00635533">
      <w:pPr>
        <w:spacing w:line="580" w:lineRule="exact"/>
        <w:jc w:val="center"/>
        <w:outlineLvl w:val="0"/>
        <w:rPr>
          <w:rFonts w:ascii="Times New Roman" w:eastAsia="黑体" w:hAnsi="Times New Roman" w:cs="黑体"/>
          <w:sz w:val="32"/>
          <w:szCs w:val="32"/>
        </w:rPr>
      </w:pPr>
      <w:r>
        <w:rPr>
          <w:rFonts w:ascii="Times New Roman" w:eastAsia="黑体" w:hAnsi="Times New Roman" w:cs="黑体"/>
          <w:sz w:val="32"/>
          <w:szCs w:val="32"/>
        </w:rPr>
        <w:t>第三章</w:t>
      </w:r>
      <w:r>
        <w:rPr>
          <w:rFonts w:ascii="Times New Roman" w:eastAsia="黑体" w:hAnsi="Times New Roman" w:cs="黑体"/>
          <w:sz w:val="32"/>
          <w:szCs w:val="32"/>
        </w:rPr>
        <w:t xml:space="preserve"> </w:t>
      </w:r>
      <w:r>
        <w:rPr>
          <w:rFonts w:ascii="Times New Roman" w:eastAsia="黑体" w:hAnsi="Times New Roman" w:cs="黑体"/>
          <w:sz w:val="32"/>
          <w:szCs w:val="32"/>
        </w:rPr>
        <w:t>支撑体系与保障措施</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第十九条</w:t>
      </w:r>
      <w:r>
        <w:rPr>
          <w:rFonts w:ascii="Times New Roman" w:eastAsia="黑体" w:hAnsi="Times New Roman" w:cs="黑体"/>
          <w:sz w:val="32"/>
          <w:szCs w:val="32"/>
        </w:rPr>
        <w:t xml:space="preserve"> </w:t>
      </w:r>
      <w:r>
        <w:rPr>
          <w:rFonts w:ascii="Times New Roman" w:eastAsia="黑体" w:hAnsi="Times New Roman" w:cs="黑体"/>
          <w:sz w:val="32"/>
          <w:szCs w:val="32"/>
        </w:rPr>
        <w:t>组织与人员</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企业应明确负责创新全过程知识产权管理的专职部门或岗位，配备具备专利、商标、著作权、商业秘密管理综合知识或能力的人员，确保知识产权工作专人专管、全品类覆盖。</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建立“知识产权部门统筹</w:t>
      </w:r>
      <w:r>
        <w:rPr>
          <w:rFonts w:ascii="Times New Roman" w:eastAsia="仿宋_GB2312" w:hAnsi="Times New Roman" w:hint="eastAsia"/>
          <w:sz w:val="32"/>
          <w:szCs w:val="32"/>
        </w:rPr>
        <w:t>+</w:t>
      </w:r>
      <w:r>
        <w:rPr>
          <w:rFonts w:ascii="Times New Roman" w:eastAsia="仿宋_GB2312" w:hAnsi="Times New Roman" w:hint="eastAsia"/>
          <w:sz w:val="32"/>
          <w:szCs w:val="32"/>
        </w:rPr>
        <w:t>业务部门协同”的组织架构：研发部门配备知识产权联络员全程负责技术相关专利、商业秘密管理；品牌部门配备品牌知识产权专员负责商标、品牌相关著作权管理；创作部门配备版权专员负责各类作品著作权管理；知识产权部门牵头制定全品类知识产权战略、协调跨部门工作、处理法律纠纷。​</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鼓励设立知识产权委员会，由管理层、核心业务部门负责人（包括但不限于研发部门、市场部门等）、知识产权专业人员组成，统筹决策知识产权重大事项（如跨品类知识产权布局、重大维权行动、价值运营方案）。</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建立外部专家智库，聘请专利代理人、商标代理人、著</w:t>
      </w:r>
      <w:r>
        <w:rPr>
          <w:rFonts w:ascii="Times New Roman" w:eastAsia="仿宋_GB2312" w:hAnsi="Times New Roman" w:hint="eastAsia"/>
          <w:sz w:val="32"/>
          <w:szCs w:val="32"/>
        </w:rPr>
        <w:lastRenderedPageBreak/>
        <w:t>作权律师、商业秘密保护专家等外部资源，为复杂知识产权问题提供专业支持。</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第二十条</w:t>
      </w:r>
      <w:r>
        <w:rPr>
          <w:rFonts w:ascii="Times New Roman" w:eastAsia="黑体" w:hAnsi="Times New Roman" w:cs="黑体"/>
          <w:sz w:val="32"/>
          <w:szCs w:val="32"/>
        </w:rPr>
        <w:t xml:space="preserve"> </w:t>
      </w:r>
      <w:r>
        <w:rPr>
          <w:rFonts w:ascii="Times New Roman" w:eastAsia="黑体" w:hAnsi="Times New Roman" w:cs="黑体"/>
          <w:sz w:val="32"/>
          <w:szCs w:val="32"/>
        </w:rPr>
        <w:t>制度与流程</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企业应建立覆盖创新全流程、全品类的知识产权管理制度体系，包括但不限于：</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）知识产权战略制定与实施办法；</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）专利、商标、著作权、商业秘密分级分类管理制度；</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）创意提交与评审管理制度；​</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）全品类知识产权检索与分析流程；</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5</w:t>
      </w:r>
      <w:r>
        <w:rPr>
          <w:rFonts w:ascii="Times New Roman" w:eastAsia="仿宋_GB2312" w:hAnsi="Times New Roman" w:hint="eastAsia"/>
          <w:sz w:val="32"/>
          <w:szCs w:val="32"/>
        </w:rPr>
        <w:t>）专利申请、商标注册、著作权登记管理办法；</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6</w:t>
      </w:r>
      <w:r>
        <w:rPr>
          <w:rFonts w:ascii="Times New Roman" w:eastAsia="仿宋_GB2312" w:hAnsi="Times New Roman" w:hint="eastAsia"/>
          <w:sz w:val="32"/>
          <w:szCs w:val="32"/>
        </w:rPr>
        <w:t>）商业秘密分级保护制度（含界定、存储、访问、流转、泄密追责）；</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7</w:t>
      </w:r>
      <w:r>
        <w:rPr>
          <w:rFonts w:ascii="Times New Roman" w:eastAsia="仿宋_GB2312" w:hAnsi="Times New Roman" w:hint="eastAsia"/>
          <w:sz w:val="32"/>
          <w:szCs w:val="32"/>
        </w:rPr>
        <w:t>）合同知识产权条款审核管理办法；</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8</w:t>
      </w:r>
      <w:r>
        <w:rPr>
          <w:rFonts w:ascii="Times New Roman" w:eastAsia="仿宋_GB2312" w:hAnsi="Times New Roman" w:hint="eastAsia"/>
          <w:sz w:val="32"/>
          <w:szCs w:val="32"/>
        </w:rPr>
        <w:t>）知识产权风险预警与应对机制；</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9</w:t>
      </w:r>
      <w:r>
        <w:rPr>
          <w:rFonts w:ascii="Times New Roman" w:eastAsia="仿宋_GB2312" w:hAnsi="Times New Roman" w:hint="eastAsia"/>
          <w:sz w:val="32"/>
          <w:szCs w:val="32"/>
        </w:rPr>
        <w:t>）知识产权价值运营管理制度（含许可、转让、质押、入股）；</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10</w:t>
      </w:r>
      <w:r>
        <w:rPr>
          <w:rFonts w:ascii="Times New Roman" w:eastAsia="仿宋_GB2312" w:hAnsi="Times New Roman" w:hint="eastAsia"/>
          <w:sz w:val="32"/>
          <w:szCs w:val="32"/>
        </w:rPr>
        <w:t>）知识产权维权管理制度。​</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规范全流程操作程序，制定标准化作业指导书，明确各环节责任主体、操作标准、时间节点、输出成果，确保专利、商标、著作权、商业秘密等知识产权管理的规范化、标准化。</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建立知识产权管理制度定期修订机制，根据法律法规更新、行业发展变化、企业战略调整，每</w:t>
      </w:r>
      <w:r>
        <w:rPr>
          <w:rFonts w:ascii="Times New Roman" w:eastAsia="仿宋_GB2312" w:hAnsi="Times New Roman" w:hint="eastAsia"/>
          <w:sz w:val="32"/>
          <w:szCs w:val="32"/>
        </w:rPr>
        <w:t>1-2</w:t>
      </w:r>
      <w:r>
        <w:rPr>
          <w:rFonts w:ascii="Times New Roman" w:eastAsia="仿宋_GB2312" w:hAnsi="Times New Roman" w:hint="eastAsia"/>
          <w:sz w:val="32"/>
          <w:szCs w:val="32"/>
        </w:rPr>
        <w:t>年对制度流程进行优化完善，确保制度的适用性与有效性。</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lastRenderedPageBreak/>
        <w:t>第二十一条</w:t>
      </w:r>
      <w:r>
        <w:rPr>
          <w:rFonts w:ascii="Times New Roman" w:eastAsia="黑体" w:hAnsi="Times New Roman" w:cs="黑体"/>
          <w:sz w:val="32"/>
          <w:szCs w:val="32"/>
        </w:rPr>
        <w:t xml:space="preserve"> </w:t>
      </w:r>
      <w:r>
        <w:rPr>
          <w:rFonts w:ascii="Times New Roman" w:eastAsia="黑体" w:hAnsi="Times New Roman" w:cs="黑体"/>
          <w:sz w:val="32"/>
          <w:szCs w:val="32"/>
        </w:rPr>
        <w:t>资源与信息</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企业应保障知识产权管理的专项经费投入，明确经费使用范围（包括知识产权检索分析、申请</w:t>
      </w:r>
      <w:r>
        <w:rPr>
          <w:rFonts w:ascii="Times New Roman" w:eastAsia="仿宋_GB2312" w:hAnsi="Times New Roman" w:hint="eastAsia"/>
          <w:sz w:val="32"/>
          <w:szCs w:val="32"/>
        </w:rPr>
        <w:t>/</w:t>
      </w:r>
      <w:r>
        <w:rPr>
          <w:rFonts w:ascii="Times New Roman" w:eastAsia="仿宋_GB2312" w:hAnsi="Times New Roman" w:hint="eastAsia"/>
          <w:sz w:val="32"/>
          <w:szCs w:val="32"/>
        </w:rPr>
        <w:t>登记、维护、维权、运营、培训、外部服务等），经费预算应与企业创新规模、知识产权布局需求相匹配。​</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建立或接入专业的全品类知识产权信息数据库，包括专利检索数据库、商标检索数据库、著作权登记查询平台、商业秘密相关信息监测工具等，为知识产权检索分析、风险排查、布局决策提供数据支撑。​</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鼓励采购知识产权管理系统软件，实现专利、商标、著作权、商业秘密的电子化管理（如权利状态跟踪、期限提醒、文件存储、流程审批、风险预警），提升管理效率。​</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积极参与政府引导鼓励项目，包括专利导航、高价值专利培育转化、重点产业专利池建设、商标品牌培育、商业秘密保护试点</w:t>
      </w:r>
      <w:r>
        <w:rPr>
          <w:rFonts w:ascii="Times New Roman" w:eastAsia="仿宋_GB2312" w:hAnsi="Times New Roman"/>
          <w:sz w:val="32"/>
          <w:szCs w:val="32"/>
        </w:rPr>
        <w:t>、</w:t>
      </w:r>
      <w:r>
        <w:rPr>
          <w:rFonts w:ascii="Times New Roman" w:eastAsia="仿宋_GB2312" w:hAnsi="Times New Roman" w:hint="eastAsia"/>
          <w:sz w:val="32"/>
          <w:szCs w:val="32"/>
        </w:rPr>
        <w:t>数据知识产权</w:t>
      </w:r>
      <w:r>
        <w:rPr>
          <w:rFonts w:ascii="Times New Roman" w:eastAsia="仿宋_GB2312" w:hAnsi="Times New Roman"/>
          <w:sz w:val="32"/>
          <w:szCs w:val="32"/>
        </w:rPr>
        <w:t>登记与保护试点</w:t>
      </w:r>
      <w:r>
        <w:rPr>
          <w:rFonts w:ascii="Times New Roman" w:eastAsia="仿宋_GB2312" w:hAnsi="Times New Roman" w:hint="eastAsia"/>
          <w:sz w:val="32"/>
          <w:szCs w:val="32"/>
        </w:rPr>
        <w:t>等，争取政策支持与资源倾斜。</w:t>
      </w:r>
      <w:r>
        <w:rPr>
          <w:rFonts w:ascii="Times New Roman" w:eastAsia="仿宋_GB2312" w:hAnsi="Times New Roman" w:hint="eastAsia"/>
          <w:sz w:val="32"/>
          <w:szCs w:val="32"/>
        </w:rPr>
        <w:t xml:space="preserve"> </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鼓励加入相关产业知识产权联盟、品牌联盟、版权协会等组织，共享行业知识产权信息，开展协同布局与联合维权。</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第二十二条</w:t>
      </w:r>
      <w:r>
        <w:rPr>
          <w:rFonts w:ascii="Times New Roman" w:eastAsia="黑体" w:hAnsi="Times New Roman" w:cs="黑体"/>
          <w:sz w:val="32"/>
          <w:szCs w:val="32"/>
        </w:rPr>
        <w:t xml:space="preserve"> </w:t>
      </w:r>
      <w:r>
        <w:rPr>
          <w:rFonts w:ascii="Times New Roman" w:eastAsia="黑体" w:hAnsi="Times New Roman" w:cs="黑体"/>
          <w:sz w:val="32"/>
          <w:szCs w:val="32"/>
        </w:rPr>
        <w:t>培训与文化</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企业应定期对管理层、研发人员、市场人员等开展知识产权培训，提升全员知识产权合规意识，培育尊重创新、保护知识产权的企业文化。</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建立分层分类的知识产权培训体系：​</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lastRenderedPageBreak/>
        <w:t>（</w:t>
      </w:r>
      <w:r>
        <w:rPr>
          <w:rFonts w:ascii="Times New Roman" w:eastAsia="仿宋_GB2312" w:hAnsi="Times New Roman" w:hint="eastAsia"/>
          <w:sz w:val="32"/>
          <w:szCs w:val="32"/>
        </w:rPr>
        <w:t>1</w:t>
      </w:r>
      <w:r>
        <w:rPr>
          <w:rFonts w:ascii="Times New Roman" w:eastAsia="仿宋_GB2312" w:hAnsi="Times New Roman" w:hint="eastAsia"/>
          <w:sz w:val="32"/>
          <w:szCs w:val="32"/>
        </w:rPr>
        <w:t>）管理层培训：聚焦知识产权战略、全品类布局决策、价值运营等内容，提升战略决策能力；​</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）研发人员培训：重点覆盖专利挖掘、商业秘密保护、避免侵权等内容；​</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）品牌与创作人员培训：聚焦商标布局、著作权保护、品牌合规使用等内容；​</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）市场与销售人员培训：侧重知识产权侵权识别、品牌维护、商业秘密保护等内容；​</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5</w:t>
      </w:r>
      <w:r>
        <w:rPr>
          <w:rFonts w:ascii="Times New Roman" w:eastAsia="仿宋_GB2312" w:hAnsi="Times New Roman" w:hint="eastAsia"/>
          <w:sz w:val="32"/>
          <w:szCs w:val="32"/>
        </w:rPr>
        <w:t>）新员工入职培训：普及专利、商标、著作权、商业秘密等知识产权基础知识与企业相关制度。</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6</w:t>
      </w:r>
      <w:r>
        <w:rPr>
          <w:rFonts w:ascii="Times New Roman" w:eastAsia="仿宋_GB2312" w:hAnsi="Times New Roman" w:hint="eastAsia"/>
          <w:sz w:val="32"/>
          <w:szCs w:val="32"/>
        </w:rPr>
        <w:t>）知识产权管理人员培训：参与各级知识产权管理部门组织的培训，不断更新知识产权知识，了解知识产权相关政策、提升服务能力。​</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丰富培训形式，采用内部授课、外部讲座、案例研讨、线上课程、实操演练等多种方式，确保培训效果；建立培训考核机制，将知识产权知识掌握情况纳入相关岗位绩效评价。​</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培育尊重创新、保护知识产权的企业文化：通过内部宣传栏、企业公众号、专题活动、优秀案例表彰等形式，宣传知识产权知识与重要性，增强全员知识产权意识与合规理念。​</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鼓励员工参与知识产权相关实践，对在专利转化、商标布局、著作权创作、商业秘密保护、维权行动中做出突出贡献的部门或个人给予表彰奖励，激发全员参与积极性。​</w:t>
      </w:r>
    </w:p>
    <w:p w:rsidR="00635533" w:rsidRDefault="00635533" w:rsidP="00635533">
      <w:pPr>
        <w:spacing w:line="58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鼓励积极参与国家知识产权示范企业创建、中国专利</w:t>
      </w:r>
      <w:r>
        <w:rPr>
          <w:rFonts w:ascii="Times New Roman" w:eastAsia="仿宋_GB2312" w:hAnsi="Times New Roman" w:hint="eastAsia"/>
          <w:sz w:val="32"/>
          <w:szCs w:val="32"/>
        </w:rPr>
        <w:lastRenderedPageBreak/>
        <w:t>奖评选、商标品牌及著作权示范单位认定、《企业知识产权合规管理体系</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要求》（</w:t>
      </w:r>
      <w:r>
        <w:rPr>
          <w:rFonts w:ascii="Times New Roman" w:eastAsia="仿宋_GB2312" w:hAnsi="Times New Roman" w:hint="eastAsia"/>
          <w:sz w:val="32"/>
          <w:szCs w:val="32"/>
        </w:rPr>
        <w:t>GB/T 29490</w:t>
      </w:r>
      <w:r>
        <w:rPr>
          <w:rFonts w:ascii="Times New Roman" w:eastAsia="仿宋_GB2312" w:hAnsi="Times New Roman" w:hint="eastAsia"/>
          <w:sz w:val="32"/>
          <w:szCs w:val="32"/>
        </w:rPr>
        <w:t>）《创新管理</w:t>
      </w:r>
      <w:r>
        <w:rPr>
          <w:rFonts w:ascii="Times New Roman" w:eastAsia="仿宋_GB2312" w:hAnsi="Times New Roman" w:hint="eastAsia"/>
          <w:sz w:val="32"/>
          <w:szCs w:val="32"/>
        </w:rPr>
        <w:t>-</w:t>
      </w:r>
      <w:r>
        <w:rPr>
          <w:rFonts w:ascii="Times New Roman" w:eastAsia="仿宋_GB2312" w:hAnsi="Times New Roman" w:hint="eastAsia"/>
          <w:sz w:val="32"/>
          <w:szCs w:val="32"/>
        </w:rPr>
        <w:t>知识产权管理指南》（</w:t>
      </w:r>
      <w:r>
        <w:rPr>
          <w:rFonts w:ascii="Times New Roman" w:eastAsia="仿宋_GB2312" w:hAnsi="Times New Roman" w:hint="eastAsia"/>
          <w:sz w:val="32"/>
          <w:szCs w:val="32"/>
        </w:rPr>
        <w:t>ISO56005</w:t>
      </w:r>
      <w:r>
        <w:rPr>
          <w:rFonts w:ascii="Times New Roman" w:eastAsia="仿宋_GB2312" w:hAnsi="Times New Roman" w:hint="eastAsia"/>
          <w:sz w:val="32"/>
          <w:szCs w:val="32"/>
        </w:rPr>
        <w:t>）实施等活动，提升企业知识产权管理水平与行业影响力。​</w:t>
      </w:r>
    </w:p>
    <w:p w:rsidR="00635533" w:rsidRDefault="00635533" w:rsidP="00635533">
      <w:pPr>
        <w:spacing w:line="580" w:lineRule="exact"/>
        <w:ind w:firstLineChars="200" w:firstLine="640"/>
        <w:rPr>
          <w:rFonts w:ascii="Times New Roman" w:eastAsia="仿宋_GB2312" w:hAnsi="Times New Roman"/>
          <w:sz w:val="32"/>
          <w:szCs w:val="32"/>
        </w:rPr>
      </w:pPr>
    </w:p>
    <w:p w:rsidR="00635533" w:rsidRDefault="00635533" w:rsidP="00635533">
      <w:pPr>
        <w:spacing w:line="580" w:lineRule="exact"/>
        <w:jc w:val="center"/>
        <w:outlineLvl w:val="0"/>
        <w:rPr>
          <w:rFonts w:ascii="Times New Roman" w:eastAsia="黑体" w:hAnsi="Times New Roman" w:cs="黑体"/>
          <w:sz w:val="32"/>
          <w:szCs w:val="32"/>
        </w:rPr>
      </w:pPr>
      <w:r>
        <w:rPr>
          <w:rFonts w:ascii="Times New Roman" w:eastAsia="黑体" w:hAnsi="Times New Roman" w:cs="黑体"/>
          <w:sz w:val="32"/>
          <w:szCs w:val="32"/>
        </w:rPr>
        <w:t>第四章</w:t>
      </w:r>
      <w:r>
        <w:rPr>
          <w:rFonts w:ascii="Times New Roman" w:eastAsia="黑体" w:hAnsi="Times New Roman" w:cs="黑体"/>
          <w:sz w:val="32"/>
          <w:szCs w:val="32"/>
        </w:rPr>
        <w:t xml:space="preserve"> </w:t>
      </w:r>
      <w:r>
        <w:rPr>
          <w:rFonts w:ascii="Times New Roman" w:eastAsia="黑体" w:hAnsi="Times New Roman" w:cs="黑体"/>
          <w:sz w:val="32"/>
          <w:szCs w:val="32"/>
        </w:rPr>
        <w:t>附则</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第二十三条</w:t>
      </w:r>
      <w:r>
        <w:rPr>
          <w:rFonts w:ascii="Times New Roman" w:eastAsia="黑体" w:hAnsi="Times New Roman" w:cs="黑体"/>
          <w:sz w:val="32"/>
          <w:szCs w:val="32"/>
        </w:rPr>
        <w:t xml:space="preserve"> </w:t>
      </w:r>
      <w:r>
        <w:rPr>
          <w:rFonts w:ascii="Times New Roman" w:eastAsia="黑体" w:hAnsi="Times New Roman" w:cs="黑体"/>
          <w:sz w:val="32"/>
          <w:szCs w:val="32"/>
        </w:rPr>
        <w:t>指引性质</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本指引为企业创新过程知识产权管理提供一般性指导，不具有强制性。企业可根据自身规模、行业特点及创新模式，对本指引的内容予以细化和调整。</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第二十四条</w:t>
      </w:r>
      <w:r>
        <w:rPr>
          <w:rFonts w:ascii="Times New Roman" w:eastAsia="黑体" w:hAnsi="Times New Roman" w:cs="黑体"/>
          <w:sz w:val="32"/>
          <w:szCs w:val="32"/>
        </w:rPr>
        <w:t xml:space="preserve"> </w:t>
      </w:r>
      <w:r>
        <w:rPr>
          <w:rFonts w:ascii="Times New Roman" w:eastAsia="黑体" w:hAnsi="Times New Roman" w:cs="黑体"/>
          <w:sz w:val="32"/>
          <w:szCs w:val="32"/>
        </w:rPr>
        <w:t>解释与咨询</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本指引由浙江省知识产权局负责解释。企业在实践中遇到具体问题，可向各级知识产权管理部门、知识产权公共服务机构或专业服务机构咨询。</w:t>
      </w:r>
    </w:p>
    <w:p w:rsidR="00635533" w:rsidRDefault="00635533" w:rsidP="00635533">
      <w:pPr>
        <w:spacing w:line="580" w:lineRule="exact"/>
        <w:ind w:firstLineChars="200" w:firstLine="640"/>
        <w:jc w:val="left"/>
        <w:outlineLvl w:val="2"/>
        <w:rPr>
          <w:rFonts w:ascii="Times New Roman" w:eastAsia="黑体" w:hAnsi="Times New Roman" w:cs="黑体"/>
          <w:sz w:val="32"/>
          <w:szCs w:val="32"/>
        </w:rPr>
      </w:pPr>
      <w:r>
        <w:rPr>
          <w:rFonts w:ascii="Times New Roman" w:eastAsia="黑体" w:hAnsi="Times New Roman" w:cs="黑体"/>
          <w:sz w:val="32"/>
          <w:szCs w:val="32"/>
        </w:rPr>
        <w:t>第二十五条</w:t>
      </w:r>
      <w:r>
        <w:rPr>
          <w:rFonts w:ascii="Times New Roman" w:eastAsia="黑体" w:hAnsi="Times New Roman" w:cs="黑体"/>
          <w:sz w:val="32"/>
          <w:szCs w:val="32"/>
        </w:rPr>
        <w:t xml:space="preserve"> </w:t>
      </w:r>
      <w:r>
        <w:rPr>
          <w:rFonts w:ascii="Times New Roman" w:eastAsia="黑体" w:hAnsi="Times New Roman" w:cs="黑体"/>
          <w:sz w:val="32"/>
          <w:szCs w:val="32"/>
        </w:rPr>
        <w:t>施行日期</w:t>
      </w:r>
    </w:p>
    <w:p w:rsidR="00635533" w:rsidRDefault="00635533" w:rsidP="00635533">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本指引自发布之日起供企业参考施行。</w:t>
      </w:r>
    </w:p>
    <w:p w:rsidR="00635533" w:rsidRDefault="00635533" w:rsidP="00635533">
      <w:pPr>
        <w:spacing w:line="580" w:lineRule="exact"/>
        <w:ind w:firstLineChars="200" w:firstLine="640"/>
        <w:rPr>
          <w:rFonts w:ascii="Times New Roman" w:eastAsia="仿宋_GB2312" w:hAnsi="Times New Roman"/>
          <w:sz w:val="32"/>
          <w:szCs w:val="32"/>
        </w:rPr>
      </w:pPr>
    </w:p>
    <w:p w:rsidR="00824EB0" w:rsidRPr="00635533" w:rsidRDefault="00824EB0"/>
    <w:sectPr w:rsidR="00824EB0" w:rsidRPr="006355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国标仿宋">
    <w:altName w:val="仿宋"/>
    <w:charset w:val="00"/>
    <w:family w:val="auto"/>
    <w:pitch w:val="default"/>
    <w:sig w:usb0="00000000" w:usb1="00000000" w:usb2="00000016" w:usb3="00000000" w:csb0="00060007"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33"/>
    <w:rsid w:val="00635533"/>
    <w:rsid w:val="00824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6D872-05CA-49A4-A28D-E2E837AA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635533"/>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rsid w:val="0063553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2102</Words>
  <Characters>11986</Characters>
  <Application>Microsoft Office Word</Application>
  <DocSecurity>0</DocSecurity>
  <Lines>99</Lines>
  <Paragraphs>28</Paragraphs>
  <ScaleCrop>false</ScaleCrop>
  <Company>P R C</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2026-07-31T09:19:00Z</dcterms:created>
  <dcterms:modified xsi:type="dcterms:W3CDTF">2026-07-31T09:21:00Z</dcterms:modified>
</cp:coreProperties>
</file>