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D03B1">
      <w:pPr>
        <w:spacing w:line="540" w:lineRule="exact"/>
        <w:jc w:val="center"/>
        <w:rPr>
          <w:rFonts w:eastAsia="方正小标宋简体"/>
          <w:sz w:val="44"/>
          <w:szCs w:val="44"/>
        </w:rPr>
      </w:pPr>
      <w:bookmarkStart w:id="0" w:name="标题"/>
      <w:r>
        <w:rPr>
          <w:rFonts w:eastAsia="方正小标宋简体"/>
          <w:sz w:val="44"/>
          <w:szCs w:val="44"/>
        </w:rPr>
        <w:t>关于</w:t>
      </w:r>
      <w:r>
        <w:rPr>
          <w:rFonts w:hint="eastAsia" w:eastAsia="方正小标宋简体"/>
          <w:sz w:val="44"/>
          <w:szCs w:val="44"/>
          <w:lang w:eastAsia="zh-CN"/>
        </w:rPr>
        <w:t>公开</w:t>
      </w:r>
      <w:r>
        <w:rPr>
          <w:rFonts w:eastAsia="方正小标宋简体"/>
          <w:sz w:val="44"/>
          <w:szCs w:val="44"/>
        </w:rPr>
        <w:t>征求《</w:t>
      </w:r>
      <w:r>
        <w:rPr>
          <w:rFonts w:hint="eastAsia" w:eastAsia="方正小标宋简体"/>
          <w:sz w:val="44"/>
          <w:szCs w:val="44"/>
        </w:rPr>
        <w:t>温州市加快新场景大规模建设应用 推动科技和产业高质量发展行动方案（2026-2028年）（征求意见稿）</w:t>
      </w:r>
      <w:r>
        <w:rPr>
          <w:rFonts w:eastAsia="方正小标宋简体"/>
          <w:sz w:val="44"/>
          <w:szCs w:val="44"/>
        </w:rPr>
        <w:t>》</w:t>
      </w:r>
    </w:p>
    <w:p w14:paraId="255068A5">
      <w:pPr>
        <w:spacing w:line="540" w:lineRule="exact"/>
        <w:jc w:val="center"/>
        <w:rPr>
          <w:rFonts w:eastAsia="方正小标宋简体"/>
          <w:sz w:val="44"/>
          <w:szCs w:val="44"/>
        </w:rPr>
      </w:pPr>
      <w:r>
        <w:rPr>
          <w:rFonts w:eastAsia="方正小标宋简体"/>
          <w:sz w:val="44"/>
          <w:szCs w:val="44"/>
        </w:rPr>
        <w:t>意见的函</w:t>
      </w:r>
    </w:p>
    <w:p w14:paraId="273E01B3">
      <w:pPr>
        <w:spacing w:line="540" w:lineRule="exact"/>
        <w:jc w:val="center"/>
        <w:rPr>
          <w:rFonts w:eastAsia="方正小标宋简体"/>
          <w:sz w:val="44"/>
          <w:szCs w:val="44"/>
        </w:rPr>
      </w:pPr>
    </w:p>
    <w:p w14:paraId="4CAE0AFA">
      <w:pPr>
        <w:spacing w:line="540" w:lineRule="exact"/>
        <w:rPr>
          <w:rFonts w:eastAsia="仿宋_GB2312"/>
          <w:sz w:val="32"/>
          <w:szCs w:val="32"/>
        </w:rPr>
      </w:pPr>
      <w:r>
        <w:rPr>
          <w:rFonts w:eastAsia="仿宋_GB2312"/>
          <w:sz w:val="32"/>
          <w:szCs w:val="32"/>
        </w:rPr>
        <w:t>各有关单位：</w:t>
      </w:r>
    </w:p>
    <w:p w14:paraId="7DF65407">
      <w:pPr>
        <w:spacing w:line="540" w:lineRule="exact"/>
        <w:ind w:firstLine="640" w:firstLineChars="200"/>
        <w:rPr>
          <w:rFonts w:eastAsia="仿宋_GB2312"/>
          <w:sz w:val="32"/>
          <w:szCs w:val="32"/>
        </w:rPr>
      </w:pPr>
      <w:r>
        <w:rPr>
          <w:rFonts w:ascii="Times New Roman" w:hAnsi="Times New Roman" w:eastAsia="仿宋_GB2312" w:cs="Times New Roman"/>
          <w:sz w:val="32"/>
          <w:szCs w:val="32"/>
          <w:shd w:val="clear" w:color="auto" w:fill="FFFFFF"/>
        </w:rPr>
        <w:t>为深入贯彻《国务院办公厅关于加快场景培育和开放推动新场景大规模应用的实施意见》（国办发〔2025〕37号）等文件精神</w:t>
      </w:r>
      <w:r>
        <w:rPr>
          <w:rFonts w:ascii="Times New Roman" w:hAnsi="Times New Roman" w:eastAsia="仿宋_GB2312" w:cs="Times New Roman"/>
          <w:sz w:val="32"/>
          <w:szCs w:val="32"/>
          <w:shd w:val="clear" w:color="auto" w:fill="FFFFFF"/>
          <w:lang w:bidi="ar"/>
        </w:rPr>
        <w:t>，落实省、市关于推进新场景建设应用的决策部署，把握场景驱动创新的重大机遇，</w:t>
      </w:r>
      <w:r>
        <w:rPr>
          <w:rFonts w:ascii="Times New Roman" w:hAnsi="Times New Roman" w:eastAsia="仿宋_GB2312" w:cs="Times New Roman"/>
          <w:kern w:val="0"/>
          <w:sz w:val="32"/>
          <w:szCs w:val="32"/>
        </w:rPr>
        <w:t>加速新技术、新产品、新模式在温落地应用，</w:t>
      </w:r>
      <w:r>
        <w:rPr>
          <w:rFonts w:eastAsia="仿宋_GB2312"/>
          <w:sz w:val="32"/>
          <w:szCs w:val="32"/>
        </w:rPr>
        <w:t>市</w:t>
      </w:r>
      <w:r>
        <w:rPr>
          <w:rFonts w:hint="eastAsia" w:eastAsia="仿宋_GB2312"/>
          <w:sz w:val="32"/>
          <w:szCs w:val="32"/>
          <w:lang w:eastAsia="zh-CN"/>
        </w:rPr>
        <w:t>委教科人办（市科技局）</w:t>
      </w:r>
      <w:r>
        <w:rPr>
          <w:rFonts w:eastAsia="仿宋_GB2312"/>
          <w:sz w:val="32"/>
          <w:szCs w:val="32"/>
        </w:rPr>
        <w:t>牵头编制了</w:t>
      </w:r>
      <w:r>
        <w:rPr>
          <w:rFonts w:hint="eastAsia" w:eastAsia="仿宋_GB2312"/>
          <w:sz w:val="32"/>
          <w:szCs w:val="32"/>
        </w:rPr>
        <w:t>《温州市加快新场景大规模建设应用 推动科技和产业高质量发展行动方案（2026-2028年）（征求意见稿）》，</w:t>
      </w:r>
      <w:r>
        <w:rPr>
          <w:rFonts w:hint="default" w:ascii="Times New Roman" w:hAnsi="Times New Roman" w:eastAsia="仿宋_GB2312" w:cs="Times New Roman"/>
          <w:sz w:val="32"/>
          <w:szCs w:val="32"/>
        </w:rPr>
        <w:t>现</w:t>
      </w:r>
      <w:r>
        <w:rPr>
          <w:rFonts w:hint="default" w:ascii="Times New Roman" w:hAnsi="Times New Roman" w:eastAsia="仿宋_GB2312" w:cs="Times New Roman"/>
          <w:sz w:val="32"/>
          <w:szCs w:val="32"/>
          <w:lang w:eastAsia="zh-CN"/>
        </w:rPr>
        <w:t>向社会公开征求</w:t>
      </w:r>
      <w:r>
        <w:rPr>
          <w:rFonts w:hint="default" w:ascii="Times New Roman" w:hAnsi="Times New Roman" w:eastAsia="仿宋_GB2312" w:cs="Times New Roman"/>
          <w:sz w:val="32"/>
          <w:szCs w:val="32"/>
        </w:rPr>
        <w:t>意见</w:t>
      </w:r>
      <w:r>
        <w:rPr>
          <w:rFonts w:eastAsia="仿宋_GB2312"/>
          <w:sz w:val="32"/>
          <w:szCs w:val="32"/>
        </w:rPr>
        <w:t>，</w:t>
      </w:r>
      <w:r>
        <w:rPr>
          <w:rFonts w:hint="eastAsia" w:eastAsia="仿宋_GB2312"/>
          <w:sz w:val="32"/>
          <w:szCs w:val="32"/>
        </w:rPr>
        <w:t>有关意见建议请</w:t>
      </w:r>
      <w:r>
        <w:rPr>
          <w:rFonts w:eastAsia="仿宋_GB2312"/>
          <w:sz w:val="32"/>
          <w:szCs w:val="32"/>
        </w:rPr>
        <w:t>于</w:t>
      </w:r>
      <w:r>
        <w:rPr>
          <w:rFonts w:hint="eastAsia" w:eastAsia="仿宋_GB2312"/>
          <w:sz w:val="32"/>
          <w:szCs w:val="32"/>
          <w:lang w:val="en-US" w:eastAsia="zh-CN"/>
        </w:rPr>
        <w:t>8</w:t>
      </w:r>
      <w:r>
        <w:rPr>
          <w:rFonts w:eastAsia="仿宋_GB2312"/>
          <w:sz w:val="32"/>
          <w:szCs w:val="32"/>
        </w:rPr>
        <w:t>月</w:t>
      </w:r>
      <w:r>
        <w:rPr>
          <w:rFonts w:hint="eastAsia" w:eastAsia="仿宋_GB2312"/>
          <w:sz w:val="32"/>
          <w:szCs w:val="32"/>
          <w:lang w:val="en-US" w:eastAsia="zh-CN"/>
        </w:rPr>
        <w:t>12</w:t>
      </w:r>
      <w:r>
        <w:rPr>
          <w:rFonts w:eastAsia="仿宋_GB2312"/>
          <w:sz w:val="32"/>
          <w:szCs w:val="32"/>
        </w:rPr>
        <w:t>日（星期</w:t>
      </w:r>
      <w:r>
        <w:rPr>
          <w:rFonts w:hint="eastAsia" w:eastAsia="仿宋_GB2312"/>
          <w:sz w:val="32"/>
          <w:szCs w:val="32"/>
          <w:lang w:eastAsia="zh-CN"/>
        </w:rPr>
        <w:t>三</w:t>
      </w:r>
      <w:r>
        <w:rPr>
          <w:rFonts w:eastAsia="仿宋_GB2312"/>
          <w:sz w:val="32"/>
          <w:szCs w:val="32"/>
        </w:rPr>
        <w:t>）下班前</w:t>
      </w:r>
      <w:r>
        <w:rPr>
          <w:rFonts w:hint="default" w:ascii="Times New Roman" w:hAnsi="Times New Roman" w:eastAsia="仿宋_GB2312" w:cs="Times New Roman"/>
          <w:sz w:val="32"/>
          <w:szCs w:val="32"/>
          <w:lang w:eastAsia="zh-CN"/>
        </w:rPr>
        <w:t>反馈至市科技局</w:t>
      </w:r>
      <w:r>
        <w:rPr>
          <w:rFonts w:hint="eastAsia" w:eastAsia="仿宋_GB2312" w:cs="Times New Roman"/>
          <w:sz w:val="32"/>
          <w:szCs w:val="32"/>
          <w:lang w:eastAsia="zh-CN"/>
        </w:rPr>
        <w:t>创新平台与成果</w:t>
      </w:r>
      <w:r>
        <w:rPr>
          <w:rFonts w:hint="default" w:ascii="Times New Roman" w:hAnsi="Times New Roman" w:eastAsia="仿宋_GB2312" w:cs="Times New Roman"/>
          <w:sz w:val="32"/>
          <w:szCs w:val="32"/>
          <w:lang w:eastAsia="zh-CN"/>
        </w:rPr>
        <w:t>处</w:t>
      </w:r>
      <w:r>
        <w:rPr>
          <w:rFonts w:eastAsia="仿宋_GB2312"/>
          <w:sz w:val="32"/>
          <w:szCs w:val="32"/>
        </w:rPr>
        <w:t>。</w:t>
      </w:r>
    </w:p>
    <w:p w14:paraId="3988EA8A">
      <w:pPr>
        <w:spacing w:line="540" w:lineRule="exact"/>
        <w:ind w:firstLine="640" w:firstLineChars="200"/>
        <w:rPr>
          <w:rFonts w:eastAsia="仿宋_GB2312"/>
          <w:sz w:val="32"/>
          <w:szCs w:val="32"/>
        </w:rPr>
      </w:pPr>
      <w:r>
        <w:rPr>
          <w:rFonts w:eastAsia="仿宋_GB2312"/>
          <w:sz w:val="32"/>
          <w:szCs w:val="32"/>
        </w:rPr>
        <w:t>联系人：</w:t>
      </w:r>
      <w:r>
        <w:rPr>
          <w:rFonts w:hint="eastAsia" w:eastAsia="仿宋_GB2312"/>
          <w:sz w:val="32"/>
          <w:szCs w:val="32"/>
          <w:lang w:eastAsia="zh-CN"/>
        </w:rPr>
        <w:t>陈嘉豪</w:t>
      </w:r>
      <w:r>
        <w:rPr>
          <w:rFonts w:eastAsia="仿宋_GB2312"/>
          <w:sz w:val="32"/>
          <w:szCs w:val="32"/>
        </w:rPr>
        <w:t>，联系电话：0577-8</w:t>
      </w:r>
      <w:r>
        <w:rPr>
          <w:rFonts w:hint="eastAsia" w:eastAsia="仿宋_GB2312"/>
          <w:sz w:val="32"/>
          <w:szCs w:val="32"/>
          <w:lang w:val="en-US" w:eastAsia="zh-CN"/>
        </w:rPr>
        <w:t>9500017</w:t>
      </w:r>
      <w:r>
        <w:rPr>
          <w:rFonts w:eastAsia="仿宋_GB2312"/>
          <w:sz w:val="32"/>
          <w:szCs w:val="32"/>
        </w:rPr>
        <w:t>。</w:t>
      </w:r>
    </w:p>
    <w:p w14:paraId="5DBA079B">
      <w:pPr>
        <w:spacing w:line="540" w:lineRule="exact"/>
        <w:rPr>
          <w:rFonts w:eastAsia="仿宋_GB2312"/>
          <w:sz w:val="32"/>
          <w:szCs w:val="32"/>
        </w:rPr>
      </w:pPr>
    </w:p>
    <w:p w14:paraId="5B0683EA">
      <w:pPr>
        <w:spacing w:line="540" w:lineRule="exact"/>
        <w:ind w:firstLine="640" w:firstLineChars="200"/>
        <w:rPr>
          <w:rFonts w:eastAsia="仿宋_GB2312"/>
          <w:sz w:val="32"/>
          <w:szCs w:val="32"/>
        </w:rPr>
      </w:pPr>
      <w:r>
        <w:rPr>
          <w:rFonts w:eastAsia="仿宋_GB2312"/>
          <w:sz w:val="32"/>
          <w:szCs w:val="32"/>
        </w:rPr>
        <w:t>附件：1.征求意见反馈单</w:t>
      </w:r>
    </w:p>
    <w:p w14:paraId="665DD21F">
      <w:pPr>
        <w:spacing w:line="540" w:lineRule="exact"/>
        <w:ind w:firstLine="1600" w:firstLineChars="500"/>
        <w:rPr>
          <w:rFonts w:hint="eastAsia" w:eastAsia="仿宋_GB2312"/>
          <w:sz w:val="32"/>
          <w:szCs w:val="32"/>
        </w:rPr>
      </w:pPr>
      <w:r>
        <w:rPr>
          <w:rFonts w:hint="eastAsia" w:eastAsia="仿宋_GB2312"/>
          <w:sz w:val="32"/>
          <w:szCs w:val="32"/>
        </w:rPr>
        <w:t>2</w:t>
      </w:r>
      <w:r>
        <w:rPr>
          <w:rFonts w:eastAsia="仿宋_GB2312"/>
          <w:sz w:val="32"/>
          <w:szCs w:val="32"/>
        </w:rPr>
        <w:t>.</w:t>
      </w:r>
      <w:r>
        <w:rPr>
          <w:rFonts w:hint="eastAsia" w:eastAsia="仿宋_GB2312"/>
          <w:sz w:val="32"/>
          <w:szCs w:val="32"/>
        </w:rPr>
        <w:t>温州市加快新场景大规模建设应用 推动科技和产</w:t>
      </w:r>
    </w:p>
    <w:p w14:paraId="17D5716F">
      <w:pPr>
        <w:spacing w:line="540" w:lineRule="exact"/>
        <w:ind w:firstLine="1600" w:firstLineChars="500"/>
        <w:rPr>
          <w:rFonts w:eastAsia="仿宋_GB2312"/>
          <w:sz w:val="32"/>
          <w:szCs w:val="32"/>
        </w:rPr>
      </w:pPr>
      <w:r>
        <w:rPr>
          <w:rFonts w:hint="eastAsia" w:eastAsia="仿宋_GB2312"/>
          <w:sz w:val="32"/>
          <w:szCs w:val="32"/>
        </w:rPr>
        <w:t>业高质量发展行动方案（2026-2028年）（征求意见稿）</w:t>
      </w:r>
    </w:p>
    <w:p w14:paraId="3195FC2D">
      <w:pPr>
        <w:wordWrap w:val="0"/>
        <w:spacing w:line="540" w:lineRule="exact"/>
        <w:jc w:val="center"/>
        <w:rPr>
          <w:rFonts w:eastAsia="仿宋_GB2312"/>
          <w:sz w:val="32"/>
          <w:szCs w:val="32"/>
        </w:rPr>
      </w:pPr>
      <w:r>
        <w:rPr>
          <w:rFonts w:hint="eastAsia" w:eastAsia="仿宋_GB2312"/>
          <w:sz w:val="32"/>
          <w:szCs w:val="32"/>
        </w:rPr>
        <w:t xml:space="preserve">                     </w:t>
      </w:r>
    </w:p>
    <w:p w14:paraId="5DA82BA7">
      <w:pPr>
        <w:wordWrap w:val="0"/>
        <w:spacing w:line="540" w:lineRule="exact"/>
        <w:jc w:val="center"/>
        <w:rPr>
          <w:rFonts w:hint="eastAsia" w:eastAsia="仿宋_GB2312"/>
          <w:sz w:val="32"/>
          <w:szCs w:val="32"/>
          <w:lang w:eastAsia="zh-CN"/>
        </w:rPr>
      </w:pPr>
      <w:r>
        <w:rPr>
          <w:rFonts w:hint="eastAsia" w:eastAsia="仿宋_GB2312"/>
          <w:sz w:val="32"/>
          <w:szCs w:val="32"/>
        </w:rPr>
        <w:t xml:space="preserve">             </w:t>
      </w:r>
      <w:r>
        <w:rPr>
          <w:rFonts w:hint="eastAsia" w:eastAsia="仿宋_GB2312"/>
          <w:sz w:val="32"/>
          <w:szCs w:val="32"/>
          <w:lang w:eastAsia="zh-CN"/>
        </w:rPr>
        <w:t>中共温州市委教育科技人才一体化委员会办公室</w:t>
      </w:r>
    </w:p>
    <w:p w14:paraId="6142A29E">
      <w:pPr>
        <w:wordWrap w:val="0"/>
        <w:spacing w:line="540" w:lineRule="exact"/>
        <w:jc w:val="center"/>
        <w:rPr>
          <w:rFonts w:hint="default" w:eastAsia="仿宋_GB2312"/>
          <w:lang w:val="en-US" w:eastAsia="zh-CN"/>
        </w:rPr>
        <w:sectPr>
          <w:footerReference r:id="rId3" w:type="default"/>
          <w:pgSz w:w="11906" w:h="16838"/>
          <w:pgMar w:top="2098" w:right="1474" w:bottom="1757" w:left="1587" w:header="851" w:footer="992" w:gutter="0"/>
          <w:cols w:space="720" w:num="1"/>
          <w:docGrid w:type="lines" w:linePitch="312" w:charSpace="0"/>
        </w:sectPr>
      </w:pPr>
      <w:r>
        <w:rPr>
          <w:rFonts w:hint="eastAsia" w:eastAsia="仿宋_GB2312"/>
          <w:sz w:val="32"/>
          <w:szCs w:val="32"/>
        </w:rPr>
        <w:t xml:space="preserve">                         </w:t>
      </w:r>
      <w:r>
        <w:rPr>
          <w:rFonts w:eastAsia="仿宋_GB2312"/>
          <w:sz w:val="32"/>
          <w:szCs w:val="32"/>
        </w:rPr>
        <w:t>202</w:t>
      </w:r>
      <w:r>
        <w:rPr>
          <w:rFonts w:hint="eastAsia" w:eastAsia="仿宋_GB2312"/>
          <w:sz w:val="32"/>
          <w:szCs w:val="32"/>
        </w:rPr>
        <w:t>6</w:t>
      </w:r>
      <w:r>
        <w:rPr>
          <w:rFonts w:eastAsia="仿宋_GB2312"/>
          <w:sz w:val="32"/>
          <w:szCs w:val="32"/>
        </w:rPr>
        <w:t>年</w:t>
      </w:r>
      <w:r>
        <w:rPr>
          <w:rFonts w:hint="eastAsia" w:eastAsia="仿宋_GB2312"/>
          <w:sz w:val="32"/>
          <w:szCs w:val="32"/>
          <w:lang w:val="en-US" w:eastAsia="zh-CN"/>
        </w:rPr>
        <w:t>8</w:t>
      </w:r>
      <w:r>
        <w:rPr>
          <w:rFonts w:eastAsia="仿宋_GB2312"/>
          <w:sz w:val="32"/>
          <w:szCs w:val="32"/>
        </w:rPr>
        <w:t>月</w:t>
      </w:r>
      <w:r>
        <w:rPr>
          <w:rFonts w:hint="eastAsia" w:eastAsia="仿宋_GB2312"/>
          <w:sz w:val="32"/>
          <w:szCs w:val="32"/>
          <w:lang w:val="en-US" w:eastAsia="zh-CN"/>
        </w:rPr>
        <w:t>7</w:t>
      </w:r>
      <w:r>
        <w:rPr>
          <w:rFonts w:eastAsia="仿宋_GB2312"/>
          <w:sz w:val="32"/>
          <w:szCs w:val="32"/>
        </w:rPr>
        <w:t>日</w:t>
      </w:r>
      <w:r>
        <w:rPr>
          <w:rFonts w:hint="eastAsia" w:eastAsia="仿宋_GB2312"/>
          <w:sz w:val="32"/>
          <w:szCs w:val="32"/>
          <w:lang w:val="en-US" w:eastAsia="zh-CN"/>
        </w:rPr>
        <w:t xml:space="preserve">           </w:t>
      </w:r>
    </w:p>
    <w:p w14:paraId="08998E5E">
      <w:pPr>
        <w:spacing w:line="560" w:lineRule="exact"/>
        <w:jc w:val="left"/>
        <w:rPr>
          <w:rFonts w:eastAsia="黑体"/>
          <w:sz w:val="32"/>
          <w:szCs w:val="32"/>
        </w:rPr>
      </w:pPr>
      <w:r>
        <w:rPr>
          <w:rFonts w:hint="eastAsia" w:eastAsia="黑体"/>
          <w:sz w:val="32"/>
          <w:szCs w:val="32"/>
        </w:rPr>
        <w:t>附件1</w:t>
      </w:r>
    </w:p>
    <w:p w14:paraId="67336F16">
      <w:pPr>
        <w:spacing w:after="120" w:line="600" w:lineRule="exact"/>
        <w:jc w:val="center"/>
        <w:rPr>
          <w:rFonts w:eastAsia="仿宋_GB2312"/>
          <w:sz w:val="24"/>
          <w:szCs w:val="22"/>
        </w:rPr>
      </w:pPr>
      <w:r>
        <w:rPr>
          <w:rFonts w:eastAsia="华文中宋"/>
          <w:sz w:val="44"/>
          <w:szCs w:val="44"/>
        </w:rPr>
        <w:t>征求意见反馈单</w:t>
      </w:r>
    </w:p>
    <w:tbl>
      <w:tblPr>
        <w:tblStyle w:val="11"/>
        <w:tblW w:w="9600" w:type="dxa"/>
        <w:tblInd w:w="-24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5"/>
        <w:gridCol w:w="8245"/>
      </w:tblGrid>
      <w:tr w14:paraId="1316E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355" w:type="dxa"/>
            <w:vAlign w:val="center"/>
          </w:tcPr>
          <w:p w14:paraId="3BF6E87F">
            <w:pPr>
              <w:spacing w:line="560" w:lineRule="exact"/>
              <w:rPr>
                <w:rFonts w:eastAsia="仿宋_GB2312"/>
                <w:sz w:val="32"/>
                <w:szCs w:val="32"/>
              </w:rPr>
            </w:pPr>
            <w:r>
              <w:rPr>
                <w:rFonts w:eastAsia="仿宋_GB2312"/>
                <w:sz w:val="32"/>
                <w:szCs w:val="32"/>
              </w:rPr>
              <w:t>稿件标题</w:t>
            </w:r>
          </w:p>
        </w:tc>
        <w:tc>
          <w:tcPr>
            <w:tcW w:w="8245" w:type="dxa"/>
            <w:vAlign w:val="center"/>
          </w:tcPr>
          <w:p w14:paraId="7819172E">
            <w:pPr>
              <w:spacing w:line="560" w:lineRule="exact"/>
              <w:rPr>
                <w:rFonts w:eastAsia="仿宋_GB2312"/>
                <w:sz w:val="32"/>
                <w:szCs w:val="32"/>
              </w:rPr>
            </w:pPr>
            <w:r>
              <w:rPr>
                <w:rFonts w:hint="eastAsia" w:eastAsia="仿宋_GB2312"/>
                <w:sz w:val="32"/>
                <w:szCs w:val="32"/>
              </w:rPr>
              <w:t>温州市加快新场景大规模建设应用 推动科技和产业高质量发展行动方案（2026-2028年）（征求意见稿）</w:t>
            </w:r>
          </w:p>
        </w:tc>
      </w:tr>
      <w:tr w14:paraId="06ACC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41" w:hRule="atLeast"/>
        </w:trPr>
        <w:tc>
          <w:tcPr>
            <w:tcW w:w="1355" w:type="dxa"/>
          </w:tcPr>
          <w:p w14:paraId="2997D794">
            <w:pPr>
              <w:spacing w:line="560" w:lineRule="exact"/>
              <w:ind w:firstLine="640" w:firstLineChars="200"/>
              <w:rPr>
                <w:rFonts w:eastAsia="仿宋_GB2312"/>
                <w:sz w:val="32"/>
                <w:szCs w:val="32"/>
              </w:rPr>
            </w:pPr>
          </w:p>
          <w:p w14:paraId="5147CF1B">
            <w:pPr>
              <w:spacing w:line="560" w:lineRule="exact"/>
              <w:ind w:firstLine="640" w:firstLineChars="200"/>
              <w:rPr>
                <w:rFonts w:eastAsia="仿宋_GB2312"/>
                <w:sz w:val="32"/>
                <w:szCs w:val="32"/>
              </w:rPr>
            </w:pPr>
          </w:p>
          <w:p w14:paraId="196C06F1">
            <w:pPr>
              <w:spacing w:line="560" w:lineRule="exact"/>
              <w:ind w:firstLine="640" w:firstLineChars="200"/>
              <w:rPr>
                <w:rFonts w:eastAsia="仿宋_GB2312"/>
                <w:sz w:val="32"/>
                <w:szCs w:val="32"/>
              </w:rPr>
            </w:pPr>
          </w:p>
          <w:p w14:paraId="72B68350">
            <w:pPr>
              <w:spacing w:line="560" w:lineRule="exact"/>
              <w:ind w:firstLine="640" w:firstLineChars="200"/>
              <w:rPr>
                <w:rFonts w:eastAsia="仿宋_GB2312"/>
                <w:sz w:val="32"/>
                <w:szCs w:val="32"/>
              </w:rPr>
            </w:pPr>
          </w:p>
          <w:p w14:paraId="18655A79">
            <w:pPr>
              <w:spacing w:line="560" w:lineRule="exact"/>
              <w:rPr>
                <w:rFonts w:eastAsia="仿宋_GB2312"/>
                <w:sz w:val="32"/>
                <w:szCs w:val="32"/>
              </w:rPr>
            </w:pPr>
            <w:r>
              <w:rPr>
                <w:rFonts w:eastAsia="仿宋_GB2312"/>
                <w:sz w:val="32"/>
                <w:szCs w:val="32"/>
              </w:rPr>
              <w:t>反馈意见</w:t>
            </w:r>
          </w:p>
        </w:tc>
        <w:tc>
          <w:tcPr>
            <w:tcW w:w="8245" w:type="dxa"/>
          </w:tcPr>
          <w:p w14:paraId="1AF88467">
            <w:pPr>
              <w:spacing w:line="560" w:lineRule="exact"/>
              <w:ind w:firstLine="640" w:firstLineChars="200"/>
              <w:rPr>
                <w:rFonts w:eastAsia="仿宋_GB2312"/>
                <w:sz w:val="32"/>
                <w:szCs w:val="32"/>
              </w:rPr>
            </w:pPr>
          </w:p>
          <w:p w14:paraId="2F90B851">
            <w:pPr>
              <w:spacing w:line="560" w:lineRule="exact"/>
              <w:ind w:firstLine="640" w:firstLineChars="200"/>
              <w:rPr>
                <w:rFonts w:eastAsia="仿宋_GB2312"/>
                <w:sz w:val="32"/>
                <w:szCs w:val="32"/>
              </w:rPr>
            </w:pPr>
          </w:p>
          <w:p w14:paraId="61EB43FC">
            <w:pPr>
              <w:spacing w:line="560" w:lineRule="exact"/>
              <w:ind w:firstLine="640" w:firstLineChars="200"/>
              <w:rPr>
                <w:rFonts w:eastAsia="仿宋_GB2312"/>
                <w:sz w:val="32"/>
                <w:szCs w:val="32"/>
              </w:rPr>
            </w:pPr>
          </w:p>
          <w:p w14:paraId="447D2283">
            <w:pPr>
              <w:spacing w:line="560" w:lineRule="exact"/>
              <w:ind w:firstLine="640" w:firstLineChars="200"/>
              <w:rPr>
                <w:rFonts w:eastAsia="仿宋_GB2312"/>
                <w:sz w:val="32"/>
                <w:szCs w:val="32"/>
              </w:rPr>
            </w:pPr>
          </w:p>
          <w:p w14:paraId="7707B46D">
            <w:pPr>
              <w:spacing w:line="560" w:lineRule="exact"/>
              <w:ind w:firstLine="640" w:firstLineChars="200"/>
              <w:rPr>
                <w:rFonts w:eastAsia="仿宋_GB2312"/>
                <w:sz w:val="32"/>
                <w:szCs w:val="32"/>
              </w:rPr>
            </w:pPr>
          </w:p>
          <w:p w14:paraId="77801C4C">
            <w:pPr>
              <w:spacing w:line="560" w:lineRule="exact"/>
              <w:ind w:firstLine="640" w:firstLineChars="200"/>
              <w:rPr>
                <w:rFonts w:eastAsia="仿宋_GB2312"/>
                <w:sz w:val="32"/>
                <w:szCs w:val="32"/>
              </w:rPr>
            </w:pPr>
          </w:p>
          <w:p w14:paraId="6F744C81">
            <w:pPr>
              <w:spacing w:line="560" w:lineRule="exact"/>
              <w:ind w:firstLine="640" w:firstLineChars="200"/>
              <w:rPr>
                <w:rFonts w:eastAsia="仿宋_GB2312"/>
                <w:sz w:val="32"/>
                <w:szCs w:val="32"/>
              </w:rPr>
            </w:pPr>
          </w:p>
          <w:p w14:paraId="5E89B876">
            <w:pPr>
              <w:spacing w:line="560" w:lineRule="exact"/>
              <w:ind w:firstLine="640" w:firstLineChars="200"/>
              <w:rPr>
                <w:rFonts w:eastAsia="仿宋_GB2312"/>
                <w:sz w:val="32"/>
                <w:szCs w:val="32"/>
              </w:rPr>
            </w:pPr>
          </w:p>
          <w:p w14:paraId="67225E0D">
            <w:pPr>
              <w:spacing w:line="560" w:lineRule="exact"/>
              <w:ind w:firstLine="640" w:firstLineChars="200"/>
              <w:rPr>
                <w:rFonts w:eastAsia="仿宋_GB2312"/>
                <w:sz w:val="32"/>
                <w:szCs w:val="32"/>
              </w:rPr>
            </w:pPr>
          </w:p>
          <w:p w14:paraId="57A20A86">
            <w:pPr>
              <w:spacing w:line="560" w:lineRule="exact"/>
              <w:ind w:firstLine="640" w:firstLineChars="200"/>
              <w:rPr>
                <w:rFonts w:eastAsia="仿宋_GB2312"/>
                <w:sz w:val="32"/>
                <w:szCs w:val="32"/>
              </w:rPr>
            </w:pPr>
            <w:r>
              <w:rPr>
                <w:rFonts w:eastAsia="仿宋_GB2312"/>
                <w:sz w:val="32"/>
                <w:szCs w:val="32"/>
              </w:rPr>
              <w:t xml:space="preserve">            </w:t>
            </w:r>
          </w:p>
          <w:p w14:paraId="7EC1402B">
            <w:pPr>
              <w:spacing w:line="560" w:lineRule="exact"/>
              <w:ind w:firstLine="640" w:firstLineChars="200"/>
              <w:rPr>
                <w:rFonts w:eastAsia="仿宋_GB2312"/>
                <w:sz w:val="32"/>
                <w:szCs w:val="32"/>
              </w:rPr>
            </w:pPr>
            <w:r>
              <w:rPr>
                <w:rFonts w:eastAsia="仿宋_GB2312"/>
                <w:sz w:val="32"/>
                <w:szCs w:val="32"/>
              </w:rPr>
              <w:t xml:space="preserve">          </w:t>
            </w:r>
          </w:p>
          <w:p w14:paraId="4D58D9A9">
            <w:pPr>
              <w:spacing w:line="560" w:lineRule="exact"/>
              <w:ind w:firstLine="4160" w:firstLineChars="1300"/>
              <w:rPr>
                <w:rFonts w:eastAsia="仿宋_GB2312"/>
                <w:sz w:val="32"/>
                <w:szCs w:val="32"/>
              </w:rPr>
            </w:pPr>
            <w:r>
              <w:rPr>
                <w:rFonts w:eastAsia="仿宋_GB2312"/>
                <w:sz w:val="32"/>
                <w:szCs w:val="32"/>
              </w:rPr>
              <w:t xml:space="preserve"> 单位负责人署名或盖章</w:t>
            </w:r>
          </w:p>
          <w:p w14:paraId="7226EF97">
            <w:pPr>
              <w:spacing w:line="560" w:lineRule="exact"/>
              <w:ind w:firstLine="640" w:firstLineChars="200"/>
              <w:rPr>
                <w:rFonts w:eastAsia="仿宋_GB2312"/>
                <w:sz w:val="32"/>
                <w:szCs w:val="32"/>
              </w:rPr>
            </w:pPr>
            <w:r>
              <w:rPr>
                <w:rFonts w:eastAsia="仿宋_GB2312"/>
                <w:sz w:val="32"/>
                <w:szCs w:val="32"/>
              </w:rPr>
              <w:t xml:space="preserve">                           年   月   日</w:t>
            </w:r>
          </w:p>
          <w:p w14:paraId="4F43DC92">
            <w:pPr>
              <w:spacing w:line="560" w:lineRule="exact"/>
              <w:ind w:firstLine="4480" w:firstLineChars="1400"/>
              <w:rPr>
                <w:rFonts w:eastAsia="仿宋_GB2312"/>
                <w:sz w:val="32"/>
                <w:szCs w:val="32"/>
              </w:rPr>
            </w:pPr>
            <w:r>
              <w:rPr>
                <w:rFonts w:eastAsia="仿宋_GB2312"/>
                <w:sz w:val="32"/>
                <w:szCs w:val="32"/>
              </w:rPr>
              <w:t>（经办人员及电话：</w:t>
            </w:r>
            <w:r>
              <w:rPr>
                <w:rFonts w:eastAsia="仿宋_GB2312"/>
                <w:sz w:val="32"/>
                <w:szCs w:val="32"/>
              </w:rPr>
              <w:tab/>
            </w:r>
            <w:r>
              <w:rPr>
                <w:rFonts w:eastAsia="仿宋_GB2312"/>
                <w:sz w:val="32"/>
                <w:szCs w:val="32"/>
              </w:rPr>
              <w:t>）</w:t>
            </w:r>
          </w:p>
        </w:tc>
      </w:tr>
      <w:tr w14:paraId="0DBE8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1" w:hRule="atLeast"/>
        </w:trPr>
        <w:tc>
          <w:tcPr>
            <w:tcW w:w="9600" w:type="dxa"/>
            <w:gridSpan w:val="2"/>
          </w:tcPr>
          <w:p w14:paraId="07661AC3">
            <w:pPr>
              <w:spacing w:line="560" w:lineRule="exact"/>
              <w:ind w:firstLine="640" w:firstLineChars="200"/>
              <w:rPr>
                <w:rFonts w:eastAsia="仿宋_GB2312"/>
                <w:sz w:val="32"/>
                <w:szCs w:val="32"/>
              </w:rPr>
            </w:pPr>
            <w:r>
              <w:rPr>
                <w:rFonts w:eastAsia="仿宋_GB2312"/>
                <w:sz w:val="32"/>
                <w:szCs w:val="32"/>
              </w:rPr>
              <w:t>请于</w:t>
            </w:r>
            <w:r>
              <w:rPr>
                <w:rFonts w:hint="eastAsia" w:eastAsia="仿宋_GB2312"/>
                <w:sz w:val="32"/>
                <w:szCs w:val="32"/>
                <w:lang w:val="en-US" w:eastAsia="zh-CN"/>
              </w:rPr>
              <w:t>8</w:t>
            </w:r>
            <w:r>
              <w:rPr>
                <w:rFonts w:eastAsia="仿宋_GB2312"/>
                <w:sz w:val="32"/>
                <w:szCs w:val="32"/>
              </w:rPr>
              <w:t>月</w:t>
            </w:r>
            <w:r>
              <w:rPr>
                <w:rFonts w:hint="eastAsia" w:eastAsia="仿宋_GB2312"/>
                <w:sz w:val="32"/>
                <w:szCs w:val="32"/>
                <w:lang w:val="en-US" w:eastAsia="zh-CN"/>
              </w:rPr>
              <w:t>12</w:t>
            </w:r>
            <w:r>
              <w:rPr>
                <w:rFonts w:eastAsia="仿宋_GB2312"/>
                <w:sz w:val="32"/>
                <w:szCs w:val="32"/>
              </w:rPr>
              <w:t>日（星期</w:t>
            </w:r>
            <w:r>
              <w:rPr>
                <w:rFonts w:hint="eastAsia" w:eastAsia="仿宋_GB2312"/>
                <w:sz w:val="32"/>
                <w:szCs w:val="32"/>
                <w:lang w:eastAsia="zh-CN"/>
              </w:rPr>
              <w:t>三</w:t>
            </w:r>
            <w:r>
              <w:rPr>
                <w:rFonts w:eastAsia="仿宋_GB2312"/>
                <w:sz w:val="32"/>
                <w:szCs w:val="32"/>
              </w:rPr>
              <w:t>）</w:t>
            </w:r>
            <w:r>
              <w:rPr>
                <w:rFonts w:hint="eastAsia" w:eastAsia="仿宋_GB2312"/>
                <w:sz w:val="32"/>
                <w:szCs w:val="32"/>
              </w:rPr>
              <w:t>下班</w:t>
            </w:r>
            <w:r>
              <w:rPr>
                <w:rFonts w:eastAsia="仿宋_GB2312"/>
                <w:sz w:val="32"/>
                <w:szCs w:val="32"/>
              </w:rPr>
              <w:t>前，将</w:t>
            </w:r>
            <w:r>
              <w:rPr>
                <w:rFonts w:hint="eastAsia" w:eastAsia="仿宋_GB2312"/>
                <w:sz w:val="32"/>
                <w:szCs w:val="32"/>
                <w:lang w:eastAsia="zh-CN"/>
              </w:rPr>
              <w:t>意见建议</w:t>
            </w:r>
            <w:r>
              <w:rPr>
                <w:rFonts w:eastAsia="仿宋_GB2312"/>
                <w:sz w:val="32"/>
                <w:szCs w:val="32"/>
              </w:rPr>
              <w:t>反馈至温州市科技局。（联系人：</w:t>
            </w:r>
            <w:r>
              <w:rPr>
                <w:rFonts w:hint="eastAsia" w:eastAsia="仿宋_GB2312"/>
                <w:sz w:val="32"/>
                <w:szCs w:val="32"/>
                <w:lang w:eastAsia="zh-CN"/>
              </w:rPr>
              <w:t>陈嘉豪</w:t>
            </w:r>
            <w:r>
              <w:rPr>
                <w:rFonts w:eastAsia="仿宋_GB2312"/>
                <w:sz w:val="32"/>
                <w:szCs w:val="32"/>
              </w:rPr>
              <w:t>，联系电话：0577-8</w:t>
            </w:r>
            <w:r>
              <w:rPr>
                <w:rFonts w:hint="eastAsia" w:eastAsia="仿宋_GB2312"/>
                <w:sz w:val="32"/>
                <w:szCs w:val="32"/>
                <w:lang w:val="en-US" w:eastAsia="zh-CN"/>
              </w:rPr>
              <w:t>9500017</w:t>
            </w:r>
            <w:r>
              <w:rPr>
                <w:rFonts w:eastAsia="仿宋_GB2312"/>
                <w:sz w:val="32"/>
                <w:szCs w:val="32"/>
              </w:rPr>
              <w:t>。</w:t>
            </w:r>
          </w:p>
        </w:tc>
      </w:tr>
    </w:tbl>
    <w:p w14:paraId="00648922">
      <w:pPr>
        <w:pStyle w:val="3"/>
        <w:sectPr>
          <w:footerReference r:id="rId4" w:type="default"/>
          <w:footerReference r:id="rId5" w:type="even"/>
          <w:pgSz w:w="11906" w:h="16838"/>
          <w:pgMar w:top="2098" w:right="1474" w:bottom="1985" w:left="1588" w:header="851" w:footer="1134" w:gutter="0"/>
          <w:cols w:space="720" w:num="1"/>
          <w:docGrid w:type="lines" w:linePitch="312" w:charSpace="0"/>
        </w:sectPr>
      </w:pPr>
    </w:p>
    <w:p w14:paraId="60AD906A">
      <w:pPr>
        <w:spacing w:line="560" w:lineRule="exact"/>
        <w:jc w:val="left"/>
        <w:rPr>
          <w:rFonts w:hint="eastAsia" w:eastAsia="黑体"/>
          <w:sz w:val="32"/>
          <w:szCs w:val="32"/>
        </w:rPr>
      </w:pPr>
      <w:r>
        <w:rPr>
          <w:rFonts w:hint="eastAsia" w:eastAsia="黑体"/>
          <w:sz w:val="32"/>
          <w:szCs w:val="32"/>
        </w:rPr>
        <w:t>附件2</w:t>
      </w:r>
    </w:p>
    <w:bookmarkEnd w:id="0"/>
    <w:p w14:paraId="46686C7D">
      <w:pPr>
        <w:spacing w:line="600" w:lineRule="exact"/>
        <w:jc w:val="center"/>
        <w:outlineLvl w:val="0"/>
        <w:rPr>
          <w:rFonts w:ascii="Times New Roman" w:hAnsi="Times New Roman" w:eastAsia="方正小标宋简体" w:cs="Times New Roman"/>
          <w:bCs/>
          <w:kern w:val="36"/>
          <w:sz w:val="44"/>
          <w:szCs w:val="44"/>
        </w:rPr>
      </w:pPr>
      <w:r>
        <w:rPr>
          <w:rFonts w:ascii="Times New Roman" w:hAnsi="Times New Roman" w:eastAsia="方正小标宋简体" w:cs="Times New Roman"/>
          <w:bCs/>
          <w:kern w:val="36"/>
          <w:sz w:val="44"/>
          <w:szCs w:val="44"/>
        </w:rPr>
        <w:t>温州市加快</w:t>
      </w:r>
      <w:r>
        <w:rPr>
          <w:rFonts w:hint="eastAsia" w:ascii="Times New Roman" w:hAnsi="Times New Roman" w:eastAsia="方正小标宋简体" w:cs="Times New Roman"/>
          <w:bCs/>
          <w:kern w:val="36"/>
          <w:sz w:val="44"/>
          <w:szCs w:val="44"/>
        </w:rPr>
        <w:t>新场景大规模</w:t>
      </w:r>
      <w:r>
        <w:rPr>
          <w:rFonts w:ascii="Times New Roman" w:hAnsi="Times New Roman" w:eastAsia="方正小标宋简体" w:cs="Times New Roman"/>
          <w:bCs/>
          <w:kern w:val="36"/>
          <w:sz w:val="44"/>
          <w:szCs w:val="44"/>
        </w:rPr>
        <w:t>建设应用 推动</w:t>
      </w:r>
    </w:p>
    <w:p w14:paraId="2A19538A">
      <w:pPr>
        <w:spacing w:line="600" w:lineRule="exact"/>
        <w:jc w:val="center"/>
        <w:outlineLvl w:val="0"/>
        <w:rPr>
          <w:rFonts w:ascii="Times New Roman" w:hAnsi="Times New Roman" w:eastAsia="方正小标宋简体" w:cs="Times New Roman"/>
          <w:bCs/>
          <w:kern w:val="36"/>
          <w:sz w:val="44"/>
          <w:szCs w:val="44"/>
        </w:rPr>
      </w:pPr>
      <w:r>
        <w:rPr>
          <w:rFonts w:ascii="Times New Roman" w:hAnsi="Times New Roman" w:eastAsia="方正小标宋简体" w:cs="Times New Roman"/>
          <w:bCs/>
          <w:kern w:val="36"/>
          <w:sz w:val="44"/>
          <w:szCs w:val="44"/>
        </w:rPr>
        <w:t>科技和产业高质量发展行动方案</w:t>
      </w:r>
    </w:p>
    <w:p w14:paraId="4ACAE258">
      <w:pPr>
        <w:spacing w:line="600" w:lineRule="exact"/>
        <w:jc w:val="center"/>
        <w:outlineLvl w:val="0"/>
        <w:rPr>
          <w:rFonts w:ascii="Times New Roman" w:hAnsi="Times New Roman" w:eastAsia="方正小标宋简体" w:cs="Times New Roman"/>
          <w:bCs/>
          <w:kern w:val="36"/>
          <w:sz w:val="44"/>
          <w:szCs w:val="44"/>
        </w:rPr>
      </w:pPr>
      <w:r>
        <w:rPr>
          <w:rFonts w:ascii="Times New Roman" w:hAnsi="Times New Roman" w:eastAsia="方正小标宋简体" w:cs="Times New Roman"/>
          <w:bCs/>
          <w:kern w:val="36"/>
          <w:sz w:val="44"/>
          <w:szCs w:val="44"/>
        </w:rPr>
        <w:t>（2026-2028年）</w:t>
      </w:r>
    </w:p>
    <w:p w14:paraId="7DDED745">
      <w:pPr>
        <w:spacing w:line="600" w:lineRule="exact"/>
        <w:jc w:val="center"/>
        <w:outlineLvl w:val="0"/>
        <w:rPr>
          <w:rFonts w:ascii="Times New Roman" w:hAnsi="Times New Roman" w:eastAsia="方正小标宋简体" w:cs="Times New Roman"/>
          <w:bCs/>
          <w:kern w:val="36"/>
          <w:sz w:val="32"/>
          <w:szCs w:val="32"/>
        </w:rPr>
      </w:pPr>
      <w:r>
        <w:rPr>
          <w:rFonts w:ascii="Times New Roman" w:hAnsi="Times New Roman" w:eastAsia="楷体_GB2312" w:cs="Times New Roman"/>
          <w:bCs/>
          <w:kern w:val="36"/>
          <w:sz w:val="32"/>
          <w:szCs w:val="32"/>
        </w:rPr>
        <w:t>（</w:t>
      </w:r>
      <w:r>
        <w:rPr>
          <w:rFonts w:hint="eastAsia" w:ascii="Times New Roman" w:hAnsi="Times New Roman" w:eastAsia="楷体_GB2312" w:cs="Times New Roman"/>
          <w:bCs/>
          <w:kern w:val="36"/>
          <w:sz w:val="32"/>
          <w:szCs w:val="32"/>
          <w:lang w:eastAsia="zh-CN"/>
        </w:rPr>
        <w:t>征求意见</w:t>
      </w:r>
      <w:r>
        <w:rPr>
          <w:rFonts w:ascii="Times New Roman" w:hAnsi="Times New Roman" w:eastAsia="楷体_GB2312" w:cs="Times New Roman"/>
          <w:bCs/>
          <w:kern w:val="36"/>
          <w:sz w:val="32"/>
          <w:szCs w:val="32"/>
        </w:rPr>
        <w:t>稿）</w:t>
      </w:r>
    </w:p>
    <w:p w14:paraId="1F95B706">
      <w:pPr>
        <w:spacing w:line="600" w:lineRule="exact"/>
        <w:ind w:firstLine="723" w:firstLineChars="200"/>
        <w:outlineLvl w:val="0"/>
        <w:rPr>
          <w:rFonts w:ascii="Times New Roman" w:hAnsi="Times New Roman" w:eastAsia="仿宋_GB2312" w:cs="Times New Roman"/>
          <w:b/>
          <w:bCs/>
          <w:kern w:val="36"/>
          <w:sz w:val="36"/>
          <w:szCs w:val="36"/>
        </w:rPr>
      </w:pPr>
    </w:p>
    <w:p w14:paraId="091B52D7">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sz w:val="32"/>
          <w:szCs w:val="32"/>
          <w:shd w:val="clear" w:color="auto" w:fill="FFFFFF"/>
        </w:rPr>
        <w:t>为深入贯彻《国务院办公厅关于加快场景培育和开放推动</w:t>
      </w:r>
      <w:bookmarkStart w:id="1" w:name="_GoBack"/>
      <w:bookmarkEnd w:id="1"/>
      <w:r>
        <w:rPr>
          <w:rFonts w:ascii="Times New Roman" w:hAnsi="Times New Roman" w:eastAsia="仿宋_GB2312" w:cs="Times New Roman"/>
          <w:sz w:val="32"/>
          <w:szCs w:val="32"/>
          <w:shd w:val="clear" w:color="auto" w:fill="FFFFFF"/>
        </w:rPr>
        <w:t>新场景大规模应用的实施意见》（国办发〔2025〕37号）等文件精神</w:t>
      </w:r>
      <w:r>
        <w:rPr>
          <w:rFonts w:ascii="Times New Roman" w:hAnsi="Times New Roman" w:eastAsia="仿宋_GB2312" w:cs="Times New Roman"/>
          <w:sz w:val="32"/>
          <w:szCs w:val="32"/>
          <w:shd w:val="clear" w:color="auto" w:fill="FFFFFF"/>
          <w:lang w:bidi="ar"/>
        </w:rPr>
        <w:t>，落实省、市关于推进新场景建设应用的决策部署，把握场景驱动创新的重大机遇，</w:t>
      </w:r>
      <w:r>
        <w:rPr>
          <w:rFonts w:ascii="Times New Roman" w:hAnsi="Times New Roman" w:eastAsia="仿宋_GB2312" w:cs="Times New Roman"/>
          <w:kern w:val="0"/>
          <w:sz w:val="32"/>
          <w:szCs w:val="32"/>
        </w:rPr>
        <w:t>加速新技术、新产品、新模式在温落地应用，特制定本行动方案。</w:t>
      </w:r>
    </w:p>
    <w:p w14:paraId="100BFF4E">
      <w:pPr>
        <w:spacing w:line="560" w:lineRule="exact"/>
        <w:ind w:firstLine="640" w:firstLineChars="200"/>
        <w:jc w:val="both"/>
        <w:outlineLvl w:val="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一、总体要求</w:t>
      </w:r>
    </w:p>
    <w:p w14:paraId="3CEF3E4C">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坚持需求牵引、场景驱动、开放协同、安全有序的发展原则，聚焦5大方向（前沿科技新赛道、产业转型新动能、智慧监管新范式、社会治理新模式、民生服务新体验），28个重点领域（人工智能、</w:t>
      </w:r>
      <w:r>
        <w:rPr>
          <w:rFonts w:hint="eastAsia" w:ascii="Times New Roman" w:hAnsi="Times New Roman" w:eastAsia="仿宋_GB2312" w:cs="Times New Roman"/>
          <w:kern w:val="0"/>
          <w:sz w:val="32"/>
          <w:szCs w:val="32"/>
        </w:rPr>
        <w:t>具身智能</w:t>
      </w:r>
      <w:r>
        <w:rPr>
          <w:rFonts w:ascii="Times New Roman" w:hAnsi="Times New Roman" w:eastAsia="仿宋_GB2312" w:cs="Times New Roman"/>
          <w:kern w:val="0"/>
          <w:sz w:val="32"/>
          <w:szCs w:val="32"/>
        </w:rPr>
        <w:t>、量子科技、脑机接口、全空间无人体系等），分层分类打造一批综合</w:t>
      </w:r>
      <w:r>
        <w:rPr>
          <w:rFonts w:hint="eastAsia" w:ascii="Times New Roman" w:hAnsi="Times New Roman" w:eastAsia="仿宋_GB2312" w:cs="Times New Roman"/>
          <w:kern w:val="0"/>
          <w:sz w:val="32"/>
          <w:szCs w:val="32"/>
        </w:rPr>
        <w:t>性重大</w:t>
      </w:r>
      <w:r>
        <w:rPr>
          <w:rFonts w:ascii="Times New Roman" w:hAnsi="Times New Roman" w:eastAsia="仿宋_GB2312" w:cs="Times New Roman"/>
          <w:kern w:val="0"/>
          <w:sz w:val="32"/>
          <w:szCs w:val="32"/>
        </w:rPr>
        <w:t>场景、行业集成优先发展场景、地方特色应用基础场景。</w:t>
      </w:r>
      <w:r>
        <w:rPr>
          <w:rFonts w:hint="eastAsia" w:ascii="Times New Roman" w:hAnsi="Times New Roman" w:eastAsia="仿宋_GB2312" w:cs="Times New Roman"/>
          <w:kern w:val="0"/>
          <w:sz w:val="32"/>
          <w:szCs w:val="32"/>
        </w:rPr>
        <w:t>构建场景“谋划凝练—联审协调—发布推介—对接撮合—首购首用—考核评价”全链条工作体系</w:t>
      </w:r>
      <w:r>
        <w:rPr>
          <w:rFonts w:ascii="Times New Roman" w:hAnsi="Times New Roman" w:eastAsia="仿宋_GB2312" w:cs="Times New Roman"/>
          <w:kern w:val="0"/>
          <w:sz w:val="32"/>
          <w:szCs w:val="32"/>
        </w:rPr>
        <w:t>，加快打造前沿创新有突破、产业转型有活力、监管运行有精度、社会治理有温度、民生服务有品质、创新创业有机遇的“六有”场景之城。</w:t>
      </w:r>
    </w:p>
    <w:p w14:paraId="254FD4B8">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到2028年，每年开放100个以上新场景，其中在温央企、国企和链主型企业等开放60个以上主业领域场景；每年打造10个以上综合性重大场景、20个以上行业集成优先发展场景、50个以上地方特色应用基础场景；累计培育100家以上场景创新标杆企业，推动一批新技术新产品在温首试首用，形成全域开放、供需联动、政策协同的场景创新生态。</w:t>
      </w:r>
    </w:p>
    <w:p w14:paraId="0A36F47F">
      <w:pPr>
        <w:spacing w:line="560" w:lineRule="exact"/>
        <w:ind w:firstLine="640" w:firstLineChars="200"/>
        <w:jc w:val="both"/>
        <w:outlineLvl w:val="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二、加快培育开放重点领域应用场景</w:t>
      </w:r>
    </w:p>
    <w:p w14:paraId="632F63BF">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（一）布局一批前沿科技新赛道场景</w:t>
      </w:r>
    </w:p>
    <w:p w14:paraId="4C41319E">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抢抓人工智能、</w:t>
      </w:r>
      <w:r>
        <w:rPr>
          <w:rFonts w:hint="eastAsia" w:ascii="Times New Roman" w:hAnsi="Times New Roman" w:eastAsia="仿宋_GB2312" w:cs="Times New Roman"/>
          <w:kern w:val="0"/>
          <w:sz w:val="32"/>
          <w:szCs w:val="32"/>
        </w:rPr>
        <w:t>具身智能</w:t>
      </w:r>
      <w:r>
        <w:rPr>
          <w:rFonts w:ascii="Times New Roman" w:hAnsi="Times New Roman" w:eastAsia="仿宋_GB2312" w:cs="Times New Roman"/>
          <w:kern w:val="0"/>
          <w:sz w:val="32"/>
          <w:szCs w:val="32"/>
        </w:rPr>
        <w:t>、量子科技、脑机接口、</w:t>
      </w:r>
      <w:r>
        <w:rPr>
          <w:rFonts w:hint="eastAsia" w:ascii="Times New Roman" w:hAnsi="Times New Roman" w:eastAsia="仿宋_GB2312" w:cs="Times New Roman"/>
          <w:kern w:val="0"/>
          <w:sz w:val="32"/>
          <w:szCs w:val="32"/>
        </w:rPr>
        <w:t>全空间无人体系</w:t>
      </w:r>
      <w:r>
        <w:rPr>
          <w:rFonts w:ascii="Times New Roman" w:hAnsi="Times New Roman" w:eastAsia="仿宋_GB2312" w:cs="Times New Roman"/>
          <w:kern w:val="0"/>
          <w:sz w:val="32"/>
          <w:szCs w:val="32"/>
        </w:rPr>
        <w:t>等前沿赛道，发挥温州产业基础和应用需求优势，依托“一港五谷”等加快打造具有区域辨识度的前沿科技场景创新高地。</w:t>
      </w:r>
    </w:p>
    <w:p w14:paraId="7D691336">
      <w:pPr>
        <w:spacing w:line="560" w:lineRule="exact"/>
        <w:ind w:firstLine="643" w:firstLineChars="200"/>
        <w:jc w:val="both"/>
        <w:rPr>
          <w:rFonts w:ascii="Times New Roman" w:hAnsi="Times New Roman" w:eastAsia="仿宋_GB2312" w:cs="Times New Roman"/>
          <w:b/>
          <w:bCs/>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1.人工智能。（牵头单位：市数据局</w:t>
      </w:r>
      <w:r>
        <w:rPr>
          <w:rFonts w:hint="eastAsia" w:ascii="Times New Roman" w:hAnsi="Times New Roman" w:eastAsia="仿宋_GB2312" w:cs="Times New Roman"/>
          <w:b/>
          <w:bCs/>
          <w:color w:val="000000" w:themeColor="text1"/>
          <w:kern w:val="0"/>
          <w:sz w:val="32"/>
          <w:szCs w:val="32"/>
          <w:lang w:val="en-US" w:eastAsia="zh-CN"/>
          <w14:textFill>
            <w14:solidFill>
              <w14:schemeClr w14:val="tx1"/>
            </w14:solidFill>
          </w14:textFill>
        </w:rPr>
        <w:t>〈</w:t>
      </w:r>
      <w:r>
        <w:rPr>
          <w:rFonts w:ascii="Times New Roman" w:hAnsi="Times New Roman" w:eastAsia="仿宋_GB2312" w:cs="Times New Roman"/>
          <w:b/>
          <w:bCs/>
          <w:color w:val="000000" w:themeColor="text1"/>
          <w:kern w:val="0"/>
          <w:sz w:val="32"/>
          <w:szCs w:val="32"/>
          <w14:textFill>
            <w14:solidFill>
              <w14:schemeClr w14:val="tx1"/>
            </w14:solidFill>
          </w14:textFill>
        </w:rPr>
        <w:t>市人工智能局</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w:t>
      </w:r>
      <w:r>
        <w:rPr>
          <w:rFonts w:ascii="Times New Roman" w:hAnsi="Times New Roman" w:eastAsia="仿宋_GB2312" w:cs="Times New Roman"/>
          <w:b/>
          <w:bCs/>
          <w:color w:val="000000" w:themeColor="text1"/>
          <w:kern w:val="0"/>
          <w:sz w:val="32"/>
          <w:szCs w:val="32"/>
          <w14:textFill>
            <w14:solidFill>
              <w14:schemeClr w14:val="tx1"/>
            </w14:solidFill>
          </w14:textFill>
        </w:rPr>
        <w:t>）</w:t>
      </w:r>
    </w:p>
    <w:p w14:paraId="12499B3D">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sz w:val="32"/>
          <w:szCs w:val="32"/>
          <w:lang w:bidi="ar"/>
        </w:rPr>
        <w:t>开发智算基础设施底座场景。</w:t>
      </w:r>
      <w:r>
        <w:rPr>
          <w:rFonts w:ascii="Times New Roman" w:hAnsi="Times New Roman" w:eastAsia="仿宋_GB2312" w:cs="Times New Roman"/>
          <w:sz w:val="32"/>
          <w:szCs w:val="32"/>
          <w:lang w:bidi="ar"/>
        </w:rPr>
        <w:t>建设十万卡绿色低碳智算集群，采用全液冷机房、统一算力调度、算电协同等成熟商用方案，开放算力租赁、Token服务、行业模型训练等场景，为全市AI产业提供底层算力支撑。</w:t>
      </w:r>
      <w:r>
        <w:rPr>
          <w:rFonts w:ascii="Times New Roman" w:hAnsi="Times New Roman" w:eastAsia="仿宋_GB2312" w:cs="Times New Roman"/>
          <w:b/>
          <w:sz w:val="32"/>
          <w:szCs w:val="32"/>
          <w:lang w:bidi="ar"/>
        </w:rPr>
        <w:t>开发高质量数据资源服务场景。</w:t>
      </w:r>
      <w:r>
        <w:rPr>
          <w:rFonts w:ascii="Times New Roman" w:hAnsi="Times New Roman" w:eastAsia="仿宋_GB2312" w:cs="Times New Roman"/>
          <w:sz w:val="32"/>
          <w:szCs w:val="32"/>
          <w:lang w:bidi="ar"/>
        </w:rPr>
        <w:t>依托中国（温州）数安港合规体系，开放标注服务、数据产品交易、公共数据授权运营、数据人才培训等场景，建设一批行业高质量数据集。</w:t>
      </w:r>
      <w:r>
        <w:rPr>
          <w:rFonts w:ascii="Times New Roman" w:hAnsi="Times New Roman" w:eastAsia="仿宋_GB2312" w:cs="Times New Roman"/>
          <w:b/>
          <w:sz w:val="32"/>
          <w:szCs w:val="32"/>
          <w:lang w:bidi="ar"/>
        </w:rPr>
        <w:t>开发行业垂类智能体应用场景。</w:t>
      </w:r>
      <w:r>
        <w:rPr>
          <w:rFonts w:ascii="Times New Roman" w:hAnsi="Times New Roman" w:eastAsia="仿宋_GB2312" w:cs="Times New Roman"/>
          <w:sz w:val="32"/>
          <w:szCs w:val="32"/>
          <w:lang w:bidi="ar"/>
        </w:rPr>
        <w:t>聚焦汽车零部件、泵阀、鞋服等优势产业，开放多智能体调度、RAG知识库构建等场景，采用订阅制、私有化定制等轻量化付费模式，降低中小企业应用门槛。到2028年，力争建成十万卡智算集群，</w:t>
      </w:r>
      <w:r>
        <w:rPr>
          <w:rFonts w:ascii="Times New Roman" w:hAnsi="Times New Roman" w:eastAsia="仿宋_GB2312" w:cs="Times New Roman"/>
          <w:bCs/>
          <w:sz w:val="32"/>
          <w:szCs w:val="32"/>
          <w:lang w:bidi="ar"/>
        </w:rPr>
        <w:t>打造100个以上“人工智能+”典型应用场景，推动</w:t>
      </w:r>
      <w:r>
        <w:rPr>
          <w:rFonts w:ascii="Times New Roman" w:hAnsi="Times New Roman" w:eastAsia="仿宋_GB2312" w:cs="Times New Roman"/>
          <w:sz w:val="32"/>
          <w:szCs w:val="32"/>
          <w:lang w:bidi="ar"/>
        </w:rPr>
        <w:t>国企滚动开放60个</w:t>
      </w:r>
      <w:r>
        <w:rPr>
          <w:rFonts w:ascii="Times New Roman" w:hAnsi="Times New Roman" w:eastAsia="仿宋_GB2312" w:cs="Times New Roman"/>
          <w:bCs/>
          <w:sz w:val="32"/>
          <w:szCs w:val="32"/>
          <w:lang w:bidi="ar"/>
        </w:rPr>
        <w:t>以上</w:t>
      </w:r>
      <w:r>
        <w:rPr>
          <w:rFonts w:ascii="Times New Roman" w:hAnsi="Times New Roman" w:eastAsia="仿宋_GB2312" w:cs="Times New Roman"/>
          <w:sz w:val="32"/>
          <w:szCs w:val="32"/>
          <w:lang w:bidi="ar"/>
        </w:rPr>
        <w:t>“人工智能+”应用场景，加速AI产业生态集聚。</w:t>
      </w:r>
      <w:r>
        <w:rPr>
          <w:rFonts w:ascii="Times New Roman" w:hAnsi="Times New Roman" w:eastAsia="楷体_GB2312" w:cs="Times New Roman"/>
          <w:kern w:val="0"/>
          <w:sz w:val="32"/>
          <w:szCs w:val="32"/>
        </w:rPr>
        <w:t>（配合单位：市经信局、市科技局、市国资委，中国电信温州分公司</w:t>
      </w:r>
      <w:r>
        <w:rPr>
          <w:rFonts w:ascii="Times New Roman" w:hAnsi="Times New Roman" w:eastAsia="仿宋_GB2312" w:cs="Times New Roman"/>
          <w:sz w:val="32"/>
          <w:szCs w:val="32"/>
          <w:lang w:bidi="ar"/>
        </w:rPr>
        <w:t>）</w:t>
      </w:r>
    </w:p>
    <w:p w14:paraId="6E1D5A34">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2.具身智能。（牵头单位：市经信局）</w:t>
      </w:r>
    </w:p>
    <w:p w14:paraId="0A402D4C">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开发工业制造具身智能场景。</w:t>
      </w:r>
      <w:r>
        <w:rPr>
          <w:rFonts w:ascii="Times New Roman" w:hAnsi="Times New Roman" w:eastAsia="仿宋_GB2312" w:cs="Times New Roman"/>
          <w:bCs/>
          <w:kern w:val="0"/>
          <w:sz w:val="32"/>
          <w:szCs w:val="32"/>
        </w:rPr>
        <w:t>针对制造业企业在焊接、喷涂、装配、搬运等工序自动化需求，开放具身智能在复杂车间环境下全自动接驳上架、工单齐套核验、跨工位无人化转运等场景。</w:t>
      </w:r>
      <w:r>
        <w:rPr>
          <w:rFonts w:ascii="Times New Roman" w:hAnsi="Times New Roman" w:eastAsia="仿宋_GB2312" w:cs="Times New Roman"/>
          <w:b/>
          <w:bCs/>
          <w:kern w:val="0"/>
          <w:sz w:val="32"/>
          <w:szCs w:val="32"/>
        </w:rPr>
        <w:t>开发商业服务具身智能场景。</w:t>
      </w:r>
      <w:r>
        <w:rPr>
          <w:rFonts w:ascii="Times New Roman" w:hAnsi="Times New Roman" w:eastAsia="仿宋_GB2312" w:cs="Times New Roman"/>
          <w:bCs/>
          <w:kern w:val="0"/>
          <w:sz w:val="32"/>
          <w:szCs w:val="32"/>
        </w:rPr>
        <w:t>针对文旅景区导览、大型商超导购、交通枢纽站点导引、互动体验等服务需求，探索具身智能导览导购导引、互动体验等服务场景。</w:t>
      </w:r>
      <w:r>
        <w:rPr>
          <w:rFonts w:ascii="Times New Roman" w:hAnsi="Times New Roman" w:eastAsia="仿宋_GB2312" w:cs="Times New Roman"/>
          <w:b/>
          <w:bCs/>
          <w:kern w:val="0"/>
          <w:sz w:val="32"/>
          <w:szCs w:val="32"/>
        </w:rPr>
        <w:t>开发民生保障具身智能场景。</w:t>
      </w:r>
      <w:r>
        <w:rPr>
          <w:rFonts w:ascii="Times New Roman" w:hAnsi="Times New Roman" w:eastAsia="仿宋_GB2312" w:cs="Times New Roman"/>
          <w:bCs/>
          <w:kern w:val="0"/>
          <w:sz w:val="32"/>
          <w:szCs w:val="32"/>
        </w:rPr>
        <w:t>针对</w:t>
      </w:r>
      <w:r>
        <w:rPr>
          <w:rFonts w:hint="eastAsia" w:ascii="Times New Roman" w:hAnsi="Times New Roman" w:eastAsia="仿宋_GB2312" w:cs="Times New Roman"/>
          <w:bCs/>
          <w:kern w:val="0"/>
          <w:sz w:val="32"/>
          <w:szCs w:val="32"/>
        </w:rPr>
        <w:t>粮面平仓、</w:t>
      </w:r>
      <w:r>
        <w:rPr>
          <w:rFonts w:ascii="Times New Roman" w:hAnsi="Times New Roman" w:eastAsia="仿宋_GB2312" w:cs="Times New Roman"/>
          <w:bCs/>
          <w:kern w:val="0"/>
          <w:sz w:val="32"/>
          <w:szCs w:val="32"/>
        </w:rPr>
        <w:t>安全巡逻、应急救援</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老年人陪护照料等需求，在养老机构、安防领域探索具身智能情感陪伴、安全巡逻、灾害救援等应用场景。到2028年，建成3个具身智能数采中心（训练场）和示范应用产线，培育“具身智能+”示范应用场景30个。</w:t>
      </w:r>
      <w:r>
        <w:rPr>
          <w:rFonts w:ascii="Times New Roman" w:hAnsi="Times New Roman" w:eastAsia="楷体_GB2312" w:cs="Times New Roman"/>
          <w:kern w:val="0"/>
          <w:sz w:val="32"/>
          <w:szCs w:val="32"/>
        </w:rPr>
        <w:t>（配合单位：</w:t>
      </w:r>
      <w:r>
        <w:rPr>
          <w:rFonts w:hint="eastAsia" w:ascii="Times New Roman" w:hAnsi="Times New Roman" w:eastAsia="楷体_GB2312" w:cs="Times New Roman"/>
          <w:kern w:val="0"/>
          <w:sz w:val="32"/>
          <w:szCs w:val="32"/>
        </w:rPr>
        <w:t>市粮食储备局、</w:t>
      </w:r>
      <w:r>
        <w:rPr>
          <w:rFonts w:ascii="Times New Roman" w:hAnsi="Times New Roman" w:eastAsia="楷体_GB2312" w:cs="Times New Roman"/>
          <w:kern w:val="0"/>
          <w:sz w:val="32"/>
          <w:szCs w:val="32"/>
        </w:rPr>
        <w:t>市民政局、市商务局、市文广旅局）</w:t>
      </w:r>
    </w:p>
    <w:p w14:paraId="65E94A70">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3.量子科技。（牵头单位：市科技局）</w:t>
      </w:r>
    </w:p>
    <w:p w14:paraId="4CCBEAE9">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开发量子测量与激光器应用场景。</w:t>
      </w:r>
      <w:r>
        <w:rPr>
          <w:rFonts w:ascii="Times New Roman" w:hAnsi="Times New Roman" w:eastAsia="仿宋_GB2312" w:cs="Times New Roman"/>
          <w:kern w:val="0"/>
          <w:sz w:val="32"/>
          <w:szCs w:val="32"/>
        </w:rPr>
        <w:t>依托北大</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温州激光与光电子联合研发中心，培育超长无腔超辐射主动光钟系统、高精度几何量测量系统等应用场景，同步开放原子选频激光器、全自动激光稳频系统等高端激光器产品的研发验证与性能测试场景</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以示范应用带动量子产业实现商业化规模化发展。</w:t>
      </w:r>
      <w:r>
        <w:rPr>
          <w:rFonts w:ascii="Times New Roman" w:hAnsi="Times New Roman" w:eastAsia="楷体_GB2312" w:cs="Times New Roman"/>
          <w:kern w:val="0"/>
          <w:sz w:val="32"/>
          <w:szCs w:val="32"/>
        </w:rPr>
        <w:t>（配合单位：</w:t>
      </w:r>
      <w:r>
        <w:rPr>
          <w:rFonts w:hint="eastAsia" w:ascii="Times New Roman" w:hAnsi="Times New Roman" w:eastAsia="楷体_GB2312" w:cs="Times New Roman"/>
          <w:kern w:val="0"/>
          <w:sz w:val="32"/>
          <w:szCs w:val="32"/>
          <w:lang w:eastAsia="zh-CN"/>
        </w:rPr>
        <w:t>市发展改革委</w:t>
      </w:r>
      <w:r>
        <w:rPr>
          <w:rFonts w:ascii="Times New Roman" w:hAnsi="Times New Roman" w:eastAsia="楷体_GB2312" w:cs="Times New Roman"/>
          <w:kern w:val="0"/>
          <w:sz w:val="32"/>
          <w:szCs w:val="32"/>
        </w:rPr>
        <w:t>、市经信局，温州湾新区管委会、龙港市政府）</w:t>
      </w:r>
    </w:p>
    <w:p w14:paraId="589E0263">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4.脑机接口。（牵头单位：市科技局）</w:t>
      </w:r>
    </w:p>
    <w:p w14:paraId="1D38F4BA">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开发医疗康复领域应用场景。</w:t>
      </w:r>
      <w:r>
        <w:rPr>
          <w:rFonts w:ascii="Times New Roman" w:hAnsi="Times New Roman" w:eastAsia="仿宋_GB2312" w:cs="Times New Roman"/>
          <w:kern w:val="0"/>
          <w:sz w:val="32"/>
          <w:szCs w:val="32"/>
        </w:rPr>
        <w:t>推动脑机接口在运动功能重建、语言障碍沟通、意识障碍评估等领域的临床转化与应用验证。依托瓯江实验室，培育基于脑机接口的抑郁症早期干预、阿尔茨海默病闭环调控与认知功能修复等场景。依托视觉健康全国重点实验室等平台，培育基于柔性脑机接口的视觉通路损伤后视觉功能重建、视神经损伤患者微电刺激治疗与康复</w:t>
      </w:r>
      <w:r>
        <w:rPr>
          <w:rFonts w:hint="eastAsia" w:ascii="Times New Roman" w:hAnsi="Times New Roman" w:eastAsia="仿宋_GB2312" w:cs="Times New Roman"/>
          <w:kern w:val="0"/>
          <w:sz w:val="32"/>
          <w:szCs w:val="32"/>
        </w:rPr>
        <w:t>场景</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到2028年，培育医疗康复领域脑机接口应用场景2个。</w:t>
      </w:r>
      <w:r>
        <w:rPr>
          <w:rFonts w:ascii="Times New Roman" w:hAnsi="Times New Roman" w:eastAsia="仿宋_GB2312" w:cs="Times New Roman"/>
          <w:b/>
          <w:bCs/>
          <w:kern w:val="0"/>
          <w:sz w:val="32"/>
          <w:szCs w:val="32"/>
        </w:rPr>
        <w:t>开发智能控制与消费应用场景。</w:t>
      </w:r>
      <w:r>
        <w:rPr>
          <w:rFonts w:ascii="Times New Roman" w:hAnsi="Times New Roman" w:eastAsia="仿宋_GB2312" w:cs="Times New Roman"/>
          <w:kern w:val="0"/>
          <w:sz w:val="32"/>
          <w:szCs w:val="32"/>
        </w:rPr>
        <w:t>培育脑机接口智能硬件产品在智能家居、沉浸式游戏、增强现实等领域的应用场景；</w:t>
      </w:r>
      <w:r>
        <w:rPr>
          <w:rFonts w:hint="eastAsia" w:ascii="Times New Roman" w:hAnsi="Times New Roman" w:eastAsia="仿宋_GB2312" w:cs="Times New Roman"/>
          <w:kern w:val="0"/>
          <w:sz w:val="32"/>
          <w:szCs w:val="32"/>
        </w:rPr>
        <w:t>探索脑机接口设备在酒店、高铁等商用场景的睡眠调控应用</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开发教育应用场景。</w:t>
      </w:r>
      <w:r>
        <w:rPr>
          <w:rFonts w:ascii="Times New Roman" w:hAnsi="Times New Roman" w:eastAsia="仿宋_GB2312" w:cs="Times New Roman"/>
          <w:kern w:val="0"/>
          <w:sz w:val="32"/>
          <w:szCs w:val="32"/>
        </w:rPr>
        <w:t>围绕青少年专注力培养、脑力训练等需求，探索脑机接口技术在教育领域的应用潜力。到2028年，培育脑机接口高价值应用场景3个。</w:t>
      </w:r>
      <w:r>
        <w:rPr>
          <w:rFonts w:ascii="Times New Roman" w:hAnsi="Times New Roman" w:eastAsia="楷体_GB2312" w:cs="Times New Roman"/>
          <w:kern w:val="0"/>
          <w:sz w:val="32"/>
          <w:szCs w:val="32"/>
        </w:rPr>
        <w:t>（配合单位：市经信局、市教育局、市卫健委）</w:t>
      </w:r>
    </w:p>
    <w:p w14:paraId="5BE515CA">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5.全空间无人体系。（牵头单位：市经信局、市交通运输局）</w:t>
      </w:r>
    </w:p>
    <w:p w14:paraId="7E5DCDB8">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开发智能网联汽车场景。</w:t>
      </w:r>
      <w:r>
        <w:rPr>
          <w:rFonts w:ascii="Times New Roman" w:hAnsi="Times New Roman" w:eastAsia="仿宋_GB2312" w:cs="Times New Roman"/>
          <w:kern w:val="0"/>
          <w:sz w:val="32"/>
          <w:szCs w:val="32"/>
        </w:rPr>
        <w:t>在市区、瑞安市、永嘉县等区域，开放自动驾驶接驳车、短途接驳、功能型无人车、自动泊车等场景。到2028年，开发智能网联汽车应用场景5个。</w:t>
      </w:r>
      <w:r>
        <w:rPr>
          <w:rFonts w:ascii="Times New Roman" w:hAnsi="Times New Roman" w:eastAsia="仿宋_GB2312" w:cs="Times New Roman"/>
          <w:b/>
          <w:bCs/>
          <w:kern w:val="0"/>
          <w:sz w:val="32"/>
          <w:szCs w:val="32"/>
        </w:rPr>
        <w:t>有序推进各类起降场等设施建设</w:t>
      </w:r>
      <w:r>
        <w:rPr>
          <w:rFonts w:hint="eastAsia" w:ascii="Times New Roman" w:hAnsi="Times New Roman" w:eastAsia="仿宋_GB2312" w:cs="Times New Roman"/>
          <w:b/>
          <w:bCs/>
          <w:kern w:val="0"/>
          <w:sz w:val="32"/>
          <w:szCs w:val="32"/>
        </w:rPr>
        <w:t>。</w:t>
      </w:r>
      <w:r>
        <w:rPr>
          <w:rFonts w:ascii="Times New Roman" w:hAnsi="Times New Roman" w:eastAsia="仿宋_GB2312" w:cs="Times New Roman"/>
          <w:kern w:val="0"/>
          <w:sz w:val="32"/>
          <w:szCs w:val="32"/>
        </w:rPr>
        <w:t>统筹布局低空新基建“三张网”，建成文成、泰顺通用机场。系统建设低空安全底座，有序推进低空通信、导航、监视、气象等低空智联设施建设，提升浙南低空飞行服务中心服务</w:t>
      </w:r>
      <w:r>
        <w:rPr>
          <w:rFonts w:hint="eastAsia" w:ascii="Times New Roman" w:hAnsi="Times New Roman" w:eastAsia="仿宋_GB2312" w:cs="Times New Roman"/>
          <w:kern w:val="0"/>
          <w:sz w:val="32"/>
          <w:szCs w:val="32"/>
        </w:rPr>
        <w:t>能力</w:t>
      </w:r>
      <w:r>
        <w:rPr>
          <w:rFonts w:ascii="Times New Roman" w:hAnsi="Times New Roman" w:eastAsia="仿宋_GB2312" w:cs="Times New Roman"/>
          <w:kern w:val="0"/>
          <w:sz w:val="32"/>
          <w:szCs w:val="32"/>
        </w:rPr>
        <w:t>。</w:t>
      </w:r>
      <w:r>
        <w:rPr>
          <w:rFonts w:hint="eastAsia" w:ascii="Times New Roman" w:hAnsi="Times New Roman" w:eastAsia="仿宋_GB2312" w:cs="Times New Roman"/>
          <w:b/>
          <w:bCs/>
          <w:kern w:val="0"/>
          <w:sz w:val="32"/>
          <w:szCs w:val="32"/>
        </w:rPr>
        <w:t>开发“低空+”应用场景。</w:t>
      </w:r>
      <w:r>
        <w:rPr>
          <w:rFonts w:hint="eastAsia" w:ascii="Times New Roman" w:hAnsi="Times New Roman" w:eastAsia="仿宋_GB2312" w:cs="Times New Roman"/>
          <w:kern w:val="0"/>
          <w:sz w:val="32"/>
          <w:szCs w:val="32"/>
        </w:rPr>
        <w:t>开放公共服务、文体旅、生产作业、应急救援、城市管理等“低空+”场景，探索低成本、高时效的城市配送商业化物流新模式。</w:t>
      </w:r>
      <w:r>
        <w:rPr>
          <w:rFonts w:ascii="Times New Roman" w:hAnsi="Times New Roman" w:eastAsia="仿宋_GB2312" w:cs="Times New Roman"/>
          <w:kern w:val="0"/>
          <w:sz w:val="32"/>
          <w:szCs w:val="32"/>
        </w:rPr>
        <w:t>到2028年，建成通用航空机场2个、各类起降场/点200个以上，累计开通无人机航线60条以上，打造低空典型应用场景5个，创成省级低空经济“先飞区”试点。</w:t>
      </w:r>
      <w:r>
        <w:rPr>
          <w:rFonts w:ascii="Times New Roman" w:hAnsi="Times New Roman" w:eastAsia="楷体_GB2312" w:cs="Times New Roman"/>
          <w:kern w:val="0"/>
          <w:sz w:val="32"/>
          <w:szCs w:val="32"/>
        </w:rPr>
        <w:t>（配合单位：市文广旅局、市卫健委、市应急管理局）</w:t>
      </w:r>
    </w:p>
    <w:p w14:paraId="58C764DE">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6.生物技术。（牵头单位：市科技局、市卫健委）</w:t>
      </w:r>
    </w:p>
    <w:p w14:paraId="5BC81EF5">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开发生物药CDMO</w:t>
      </w:r>
      <w:r>
        <w:rPr>
          <w:rFonts w:hint="eastAsia" w:ascii="Times New Roman" w:hAnsi="Times New Roman" w:eastAsia="仿宋_GB2312" w:cs="Times New Roman"/>
          <w:b/>
          <w:bCs/>
          <w:kern w:val="0"/>
          <w:sz w:val="32"/>
          <w:szCs w:val="32"/>
        </w:rPr>
        <w:t>服务</w:t>
      </w:r>
      <w:r>
        <w:rPr>
          <w:rFonts w:ascii="Times New Roman" w:hAnsi="Times New Roman" w:eastAsia="仿宋_GB2312" w:cs="Times New Roman"/>
          <w:b/>
          <w:bCs/>
          <w:kern w:val="0"/>
          <w:sz w:val="32"/>
          <w:szCs w:val="32"/>
        </w:rPr>
        <w:t>场景。</w:t>
      </w:r>
      <w:r>
        <w:rPr>
          <w:rFonts w:ascii="Times New Roman" w:hAnsi="Times New Roman" w:eastAsia="仿宋_GB2312" w:cs="Times New Roman"/>
          <w:kern w:val="0"/>
          <w:sz w:val="32"/>
          <w:szCs w:val="32"/>
        </w:rPr>
        <w:t>开放生物药工艺开发、中试放大、临床样品制备、分析方法验证等合同研发生产外包服务场景，为生长因子、抗体药物、基因治疗产品等提供从实验室到产业化的快速转化通道。</w:t>
      </w:r>
      <w:r>
        <w:rPr>
          <w:rFonts w:ascii="Times New Roman" w:hAnsi="Times New Roman" w:eastAsia="仿宋_GB2312" w:cs="Times New Roman"/>
          <w:b/>
          <w:bCs/>
          <w:kern w:val="0"/>
          <w:sz w:val="32"/>
          <w:szCs w:val="32"/>
        </w:rPr>
        <w:t>开发基因检测与精准健康管理场景。</w:t>
      </w:r>
      <w:r>
        <w:rPr>
          <w:rFonts w:ascii="Times New Roman" w:hAnsi="Times New Roman" w:eastAsia="仿宋_GB2312" w:cs="Times New Roman"/>
          <w:kern w:val="0"/>
          <w:sz w:val="32"/>
          <w:szCs w:val="32"/>
        </w:rPr>
        <w:t>依托我市在生长因子药物研发、细胞与基因治疗等领域的基础优势，开放基于个人基因组学的精准健康评估与干预建议场景，拓展基因检测与健康管理深度融合应用。</w:t>
      </w:r>
      <w:r>
        <w:rPr>
          <w:rFonts w:ascii="Times New Roman" w:hAnsi="Times New Roman" w:eastAsia="仿宋_GB2312" w:cs="Times New Roman"/>
          <w:b/>
          <w:bCs/>
          <w:kern w:val="0"/>
          <w:sz w:val="32"/>
          <w:szCs w:val="32"/>
        </w:rPr>
        <w:t>开发“AI+生物”药物研发场景</w:t>
      </w:r>
      <w:r>
        <w:rPr>
          <w:rFonts w:ascii="Times New Roman" w:hAnsi="Times New Roman" w:eastAsia="仿宋_GB2312" w:cs="Times New Roman"/>
          <w:kern w:val="0"/>
          <w:sz w:val="32"/>
          <w:szCs w:val="32"/>
        </w:rPr>
        <w:t>。依托中国眼谷、瓯江实验室、温州医科大学药学院等平台，开放AI辅助靶点发现、化合物虚拟筛选、药物重定位等科研场景。到2028年，开发“AI+生物”药物研发场景</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个。</w:t>
      </w:r>
      <w:r>
        <w:rPr>
          <w:rFonts w:ascii="Times New Roman" w:hAnsi="Times New Roman" w:eastAsia="仿宋_GB2312" w:cs="Times New Roman"/>
          <w:b/>
          <w:bCs/>
          <w:kern w:val="0"/>
          <w:sz w:val="32"/>
          <w:szCs w:val="32"/>
        </w:rPr>
        <w:t>开发核医疗全链条场景。</w:t>
      </w:r>
      <w:r>
        <w:rPr>
          <w:rFonts w:ascii="Times New Roman" w:hAnsi="Times New Roman" w:eastAsia="仿宋_GB2312" w:cs="Times New Roman"/>
          <w:kern w:val="0"/>
          <w:sz w:val="32"/>
          <w:szCs w:val="32"/>
        </w:rPr>
        <w:t>依托苍南核电资源，开放从核药研发、核素治疗到核医疗设备测试的“核场景试验专区”。到2028年，开发核医疗场景1个。</w:t>
      </w:r>
      <w:r>
        <w:rPr>
          <w:rFonts w:ascii="Times New Roman" w:hAnsi="Times New Roman" w:eastAsia="楷体_GB2312" w:cs="Times New Roman"/>
          <w:kern w:val="0"/>
          <w:sz w:val="32"/>
          <w:szCs w:val="32"/>
        </w:rPr>
        <w:t>（配合单位：温州湾新区管委会、瓯海区政府、苍南县政府）</w:t>
      </w:r>
    </w:p>
    <w:p w14:paraId="34A96EA7">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7.氢能。（牵头单位：市经信局）</w:t>
      </w:r>
    </w:p>
    <w:p w14:paraId="04D0C12E">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开发可再生能源制氢示范场景。</w:t>
      </w:r>
      <w:r>
        <w:rPr>
          <w:rFonts w:ascii="Times New Roman" w:hAnsi="Times New Roman" w:eastAsia="仿宋_GB2312" w:cs="Times New Roman"/>
          <w:bCs/>
          <w:kern w:val="0"/>
          <w:sz w:val="32"/>
          <w:szCs w:val="32"/>
        </w:rPr>
        <w:t>依托苍南、洞头等沿海区域风电资源和三澳核电项目，推动海上能源岛项目审批，开放“深远海风电+制氢+氢储运”综合</w:t>
      </w:r>
      <w:r>
        <w:rPr>
          <w:rFonts w:hint="eastAsia" w:ascii="Times New Roman" w:hAnsi="Times New Roman" w:eastAsia="仿宋_GB2312" w:cs="Times New Roman"/>
          <w:bCs/>
          <w:kern w:val="0"/>
          <w:sz w:val="32"/>
          <w:szCs w:val="32"/>
        </w:rPr>
        <w:t>性</w:t>
      </w:r>
      <w:r>
        <w:rPr>
          <w:rFonts w:ascii="Times New Roman" w:hAnsi="Times New Roman" w:eastAsia="仿宋_GB2312" w:cs="Times New Roman"/>
          <w:bCs/>
          <w:kern w:val="0"/>
          <w:sz w:val="32"/>
          <w:szCs w:val="32"/>
        </w:rPr>
        <w:t>重大场景。到2028年，力争开发可再生能源制氢示范场景1个。</w:t>
      </w:r>
      <w:r>
        <w:rPr>
          <w:rFonts w:ascii="Times New Roman" w:hAnsi="Times New Roman" w:eastAsia="仿宋_GB2312" w:cs="Times New Roman"/>
          <w:b/>
          <w:bCs/>
          <w:kern w:val="0"/>
          <w:sz w:val="32"/>
          <w:szCs w:val="32"/>
        </w:rPr>
        <w:t>开发氢能交通替代场景。</w:t>
      </w:r>
      <w:r>
        <w:rPr>
          <w:rFonts w:ascii="Times New Roman" w:hAnsi="Times New Roman" w:eastAsia="仿宋_GB2312" w:cs="Times New Roman"/>
          <w:bCs/>
          <w:kern w:val="0"/>
          <w:sz w:val="32"/>
          <w:szCs w:val="32"/>
        </w:rPr>
        <w:t>推动港口重卡、冷链物流车、公交客运等燃料电池汽车示范运营。</w:t>
      </w:r>
      <w:r>
        <w:rPr>
          <w:rFonts w:ascii="Times New Roman" w:hAnsi="Times New Roman" w:eastAsia="仿宋_GB2312" w:cs="Times New Roman"/>
          <w:kern w:val="0"/>
          <w:sz w:val="32"/>
          <w:szCs w:val="32"/>
        </w:rPr>
        <w:t>到2028年，燃料电池汽车保有量达到20辆。</w:t>
      </w:r>
      <w:r>
        <w:rPr>
          <w:rFonts w:ascii="Times New Roman" w:hAnsi="Times New Roman" w:eastAsia="楷体_GB2312" w:cs="Times New Roman"/>
          <w:kern w:val="0"/>
          <w:sz w:val="32"/>
          <w:szCs w:val="32"/>
        </w:rPr>
        <w:t>（配合单位：市发展改革委、市交通运输局、洞头区政府、苍南县政府）</w:t>
      </w:r>
    </w:p>
    <w:p w14:paraId="08F4FE31">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8.新一代通信网络。（牵头单位：市经信局）</w:t>
      </w:r>
    </w:p>
    <w:p w14:paraId="249ADD80">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推进6G创新通智融合发展，加强5G-A与人工智能在重点行业领域的融合应用。推进智算云服务试点，建设智算云应用场景。加快北斗与惯性导航、高精度视觉等技术融合创新，促进北斗在智慧城市、智能交通、智慧物流、智慧海洋等新场景深度融合应用。探索推进卫星通信与工业互联网、车联网、航空机载通信、低空智联网等新一代信息基础设施交叉融合，推动汽车、船舶、飞机等直连卫星。到2028年，培育5G/5G-A、智算云、北斗、卫星直连等应用场景5个，加速新一代通信网络产业化应用。</w:t>
      </w:r>
      <w:r>
        <w:rPr>
          <w:rFonts w:ascii="Times New Roman" w:hAnsi="Times New Roman" w:eastAsia="楷体_GB2312" w:cs="Times New Roman"/>
          <w:kern w:val="0"/>
          <w:sz w:val="32"/>
          <w:szCs w:val="32"/>
        </w:rPr>
        <w:t>（配合单位：市科技局）</w:t>
      </w:r>
    </w:p>
    <w:p w14:paraId="379B572B">
      <w:pPr>
        <w:spacing w:line="560" w:lineRule="exact"/>
        <w:ind w:firstLine="643" w:firstLineChars="200"/>
        <w:jc w:val="both"/>
        <w:rPr>
          <w:rFonts w:ascii="Times New Roman" w:hAnsi="Times New Roman" w:eastAsia="仿宋_GB2312" w:cs="Times New Roman"/>
          <w:b/>
          <w:bCs/>
          <w:color w:val="000000" w:themeColor="text1"/>
          <w:kern w:val="0"/>
          <w:sz w:val="32"/>
          <w:szCs w:val="32"/>
          <w14:textFill>
            <w14:solidFill>
              <w14:schemeClr w14:val="tx1"/>
            </w14:solidFill>
          </w14:textFill>
        </w:rPr>
      </w:pPr>
      <w:r>
        <w:rPr>
          <w:rFonts w:ascii="Times New Roman" w:hAnsi="Times New Roman" w:eastAsia="仿宋_GB2312" w:cs="Times New Roman"/>
          <w:b/>
          <w:bCs/>
          <w:color w:val="000000" w:themeColor="text1"/>
          <w:kern w:val="0"/>
          <w:sz w:val="32"/>
          <w:szCs w:val="32"/>
          <w14:textFill>
            <w14:solidFill>
              <w14:schemeClr w14:val="tx1"/>
            </w14:solidFill>
          </w14:textFill>
        </w:rPr>
        <w:t>9.商业航天。（牵头单位：市发展改革委、市投促局）</w:t>
      </w:r>
    </w:p>
    <w:p w14:paraId="602C040B">
      <w:pPr>
        <w:spacing w:line="560" w:lineRule="exact"/>
        <w:ind w:firstLine="643" w:firstLineChars="200"/>
        <w:jc w:val="both"/>
        <w:outlineLvl w:val="2"/>
        <w:rPr>
          <w:rFonts w:ascii="Times New Roman" w:hAnsi="Times New Roman" w:eastAsia="楷体_GB2312" w:cs="Times New Roman"/>
          <w:bCs/>
          <w:kern w:val="0"/>
          <w:sz w:val="32"/>
          <w:szCs w:val="32"/>
        </w:rPr>
      </w:pPr>
      <w:r>
        <w:rPr>
          <w:rFonts w:hint="eastAsia" w:ascii="Times New Roman" w:hAnsi="Times New Roman" w:eastAsia="仿宋_GB2312" w:cs="Times New Roman"/>
          <w:b/>
          <w:bCs/>
          <w:kern w:val="0"/>
          <w:sz w:val="32"/>
          <w:szCs w:val="32"/>
        </w:rPr>
        <w:t>开发火箭动力系统重大应用场景。</w:t>
      </w:r>
      <w:r>
        <w:rPr>
          <w:rFonts w:hint="eastAsia" w:ascii="Times New Roman" w:hAnsi="Times New Roman" w:eastAsia="仿宋_GB2312" w:cs="Times New Roman"/>
          <w:kern w:val="0"/>
          <w:sz w:val="32"/>
          <w:szCs w:val="32"/>
        </w:rPr>
        <w:t>统筹谋划布局大吨位火箭动力系统公共服务测试平台，支持龙头企业落地自用中小吨位火箭发动机试车台，构建“公用+自用”互为补充的试车平台体系。以试车台为牵引，招引一批火箭动力及总装项目落地，打造“研发+测试+制造+本土配套”产业链条，到2028年，开发火箭发动机测试应用场景2个，招引落地火箭动力及相关项目5个以上。</w:t>
      </w:r>
      <w:r>
        <w:rPr>
          <w:rFonts w:hint="eastAsia" w:ascii="Times New Roman" w:hAnsi="Times New Roman" w:eastAsia="仿宋_GB2312" w:cs="Times New Roman"/>
          <w:b/>
          <w:bCs/>
          <w:kern w:val="0"/>
          <w:sz w:val="32"/>
          <w:szCs w:val="32"/>
        </w:rPr>
        <w:t>培育本地产业适配场景。</w:t>
      </w:r>
      <w:r>
        <w:rPr>
          <w:rFonts w:hint="eastAsia" w:ascii="Times New Roman" w:hAnsi="Times New Roman" w:eastAsia="仿宋_GB2312" w:cs="Times New Roman"/>
          <w:kern w:val="0"/>
          <w:sz w:val="32"/>
          <w:szCs w:val="32"/>
        </w:rPr>
        <w:t>建立《温州市商业航天供应链能力清单》，强化与龙头企业对接，重点聚焦泵阀、电气、智能装备、新材料等产业，打造本地产业适配场景，推动本土企业升级生产工艺、适配航天质量标准，提升核心零部件供给能力。</w:t>
      </w:r>
      <w:r>
        <w:rPr>
          <w:rFonts w:hint="eastAsia" w:ascii="Times New Roman" w:hAnsi="Times New Roman" w:eastAsia="楷体_GB2312" w:cs="Times New Roman"/>
          <w:bCs/>
          <w:kern w:val="0"/>
          <w:sz w:val="32"/>
          <w:szCs w:val="32"/>
        </w:rPr>
        <w:t>（</w:t>
      </w:r>
      <w:r>
        <w:rPr>
          <w:rFonts w:ascii="Times New Roman" w:hAnsi="Times New Roman" w:eastAsia="楷体_GB2312" w:cs="Times New Roman"/>
          <w:kern w:val="0"/>
          <w:sz w:val="32"/>
          <w:szCs w:val="32"/>
        </w:rPr>
        <w:t>配合单位：</w:t>
      </w:r>
      <w:r>
        <w:rPr>
          <w:rFonts w:hint="eastAsia" w:ascii="Times New Roman" w:hAnsi="Times New Roman" w:eastAsia="楷体_GB2312" w:cs="Times New Roman"/>
          <w:bCs/>
          <w:kern w:val="0"/>
          <w:sz w:val="32"/>
          <w:szCs w:val="32"/>
        </w:rPr>
        <w:t>市经信局、市国动办）</w:t>
      </w:r>
    </w:p>
    <w:p w14:paraId="2B1BB983">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（二）打造一批产业转型新动能场景</w:t>
      </w:r>
    </w:p>
    <w:p w14:paraId="6F8462F5">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聚焦制造业数智转型、能源体系重构、现代物流升级、海洋经济拓展等重点方向，以场景开放牵引产业高端化、智能化、绿色化发展。</w:t>
      </w:r>
    </w:p>
    <w:p w14:paraId="5121E900">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10.制造业数智绿色转型。（牵头单位：市经信局）</w:t>
      </w:r>
    </w:p>
    <w:p w14:paraId="17564243">
      <w:pPr>
        <w:pStyle w:val="10"/>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开发未来工厂集成验证场景。</w:t>
      </w:r>
      <w:r>
        <w:rPr>
          <w:rFonts w:ascii="Times New Roman" w:hAnsi="Times New Roman" w:eastAsia="仿宋_GB2312" w:cs="Times New Roman"/>
          <w:kern w:val="0"/>
          <w:sz w:val="32"/>
          <w:szCs w:val="32"/>
        </w:rPr>
        <w:t>支持链主企业开放覆盖数字孪生、预测性维护、能源管控、柔性制造、产业链协同等全环节的“未来工厂”集成验证场景。到2028年，开放未来工厂应用场景3个。</w:t>
      </w:r>
      <w:r>
        <w:rPr>
          <w:rFonts w:ascii="Times New Roman" w:hAnsi="Times New Roman" w:eastAsia="仿宋_GB2312" w:cs="Times New Roman"/>
          <w:b/>
          <w:bCs/>
          <w:kern w:val="0"/>
          <w:sz w:val="32"/>
          <w:szCs w:val="32"/>
        </w:rPr>
        <w:t>开发绿色化改造验证场景。</w:t>
      </w:r>
      <w:r>
        <w:rPr>
          <w:rFonts w:ascii="Times New Roman" w:hAnsi="Times New Roman" w:eastAsia="仿宋_GB2312" w:cs="Times New Roman"/>
          <w:kern w:val="0"/>
          <w:sz w:val="32"/>
          <w:szCs w:val="32"/>
        </w:rPr>
        <w:t>面向高效节能装备、余热回收系统、清洁能源替代方案、能碳管理平台等技术产品，开放多行业、多工艺的绿色化改造验证场景。到2028年，开放绿色化改造验证场景5个。</w:t>
      </w:r>
    </w:p>
    <w:p w14:paraId="1D107F66">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11.新型能源体系。（牵头单位：市发展改革委）</w:t>
      </w:r>
    </w:p>
    <w:p w14:paraId="76821F61">
      <w:pPr>
        <w:spacing w:line="560" w:lineRule="exact"/>
        <w:ind w:firstLine="643" w:firstLineChars="200"/>
        <w:jc w:val="both"/>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开发核电综合利用场景。</w:t>
      </w:r>
      <w:r>
        <w:rPr>
          <w:rFonts w:hint="eastAsia" w:ascii="Times New Roman" w:hAnsi="Times New Roman" w:eastAsia="仿宋_GB2312" w:cs="Times New Roman"/>
          <w:kern w:val="0"/>
          <w:sz w:val="32"/>
          <w:szCs w:val="32"/>
        </w:rPr>
        <w:t>依托</w:t>
      </w:r>
      <w:r>
        <w:rPr>
          <w:rFonts w:ascii="Times New Roman" w:hAnsi="Times New Roman" w:eastAsia="仿宋_GB2312" w:cs="Times New Roman"/>
          <w:kern w:val="0"/>
          <w:sz w:val="32"/>
          <w:szCs w:val="32"/>
        </w:rPr>
        <w:t>三澳核电项目建设，积极探索核能与工业供热、石化等综合应用场景；大力引育核电调试运行、安装检修、智能化运维等配套企业，探索核电运维服务应用场景。</w:t>
      </w:r>
      <w:r>
        <w:rPr>
          <w:rFonts w:ascii="Times New Roman" w:hAnsi="Times New Roman" w:eastAsia="仿宋_GB2312" w:cs="Times New Roman"/>
          <w:b/>
          <w:bCs/>
          <w:kern w:val="0"/>
          <w:sz w:val="32"/>
          <w:szCs w:val="32"/>
        </w:rPr>
        <w:t>开发深远海风电全产业链场景。</w:t>
      </w:r>
      <w:r>
        <w:rPr>
          <w:rFonts w:ascii="Times New Roman" w:hAnsi="Times New Roman" w:eastAsia="仿宋_GB2312" w:cs="Times New Roman"/>
          <w:kern w:val="0"/>
          <w:sz w:val="32"/>
          <w:szCs w:val="32"/>
        </w:rPr>
        <w:t>依托华东深远海风电母港，加速叶片、运维基地、风电检测中心、塔筒（含单桩）等产业链项目招引，打造风电与装备制造、风电后勤保障（含运维基地）、检测中心等综合应用场景。依托深远海风电场建设，探索深远海风电制氢试点应用，促进可再生能源与氢能深度融合。</w:t>
      </w:r>
      <w:r>
        <w:rPr>
          <w:rFonts w:ascii="Times New Roman" w:hAnsi="Times New Roman" w:eastAsia="仿宋_GB2312" w:cs="Times New Roman"/>
          <w:b/>
          <w:bCs/>
          <w:kern w:val="0"/>
          <w:sz w:val="32"/>
          <w:szCs w:val="32"/>
        </w:rPr>
        <w:t>开发新型储能验证场景。</w:t>
      </w:r>
      <w:r>
        <w:rPr>
          <w:rFonts w:ascii="Times New Roman" w:hAnsi="Times New Roman" w:eastAsia="仿宋_GB2312" w:cs="Times New Roman"/>
          <w:kern w:val="0"/>
          <w:sz w:val="32"/>
          <w:szCs w:val="32"/>
        </w:rPr>
        <w:t>探索推动新型储能在用户侧、电网侧的多场景验证，加快新型储能项目推广应用。到2028年，全市非化石能源装机占比超55%。</w:t>
      </w:r>
      <w:r>
        <w:rPr>
          <w:rFonts w:ascii="Times New Roman" w:hAnsi="Times New Roman" w:eastAsia="楷体_GB2312" w:cs="Times New Roman"/>
          <w:kern w:val="0"/>
          <w:sz w:val="32"/>
          <w:szCs w:val="32"/>
        </w:rPr>
        <w:t>（配合单位：市经信局、市科技局、市投促局，省海洋风电发展有限公司、中广核苍南核电有限公司）</w:t>
      </w:r>
    </w:p>
    <w:p w14:paraId="35B470DA">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12.新型电力系统。（牵头单位：国网温州供电公司）</w:t>
      </w:r>
    </w:p>
    <w:p w14:paraId="092FAA1B">
      <w:pPr>
        <w:spacing w:line="560" w:lineRule="exact"/>
        <w:ind w:firstLine="643" w:firstLineChars="200"/>
        <w:jc w:val="both"/>
        <w:rPr>
          <w:rFonts w:ascii="Times New Roman" w:hAnsi="Times New Roman" w:eastAsia="楷体_GB2312" w:cs="Times New Roman"/>
          <w:kern w:val="0"/>
          <w:sz w:val="32"/>
          <w:szCs w:val="32"/>
        </w:rPr>
      </w:pPr>
      <w:r>
        <w:rPr>
          <w:rFonts w:hint="eastAsia" w:ascii="Times New Roman" w:hAnsi="Times New Roman" w:eastAsia="仿宋_GB2312" w:cs="Times New Roman"/>
          <w:b/>
          <w:bCs/>
          <w:kern w:val="0"/>
          <w:sz w:val="32"/>
          <w:szCs w:val="32"/>
        </w:rPr>
        <w:t>开</w:t>
      </w:r>
      <w:r>
        <w:rPr>
          <w:rFonts w:hint="eastAsia" w:ascii="Times New Roman" w:hAnsi="Times New Roman" w:eastAsia="仿宋_GB2312" w:cs="Times New Roman"/>
          <w:b/>
          <w:bCs/>
          <w:kern w:val="0"/>
          <w:sz w:val="32"/>
          <w:szCs w:val="32"/>
          <w:lang w:eastAsia="zh-CN"/>
        </w:rPr>
        <w:t>发</w:t>
      </w:r>
      <w:r>
        <w:rPr>
          <w:rFonts w:hint="eastAsia" w:ascii="Times New Roman" w:hAnsi="Times New Roman" w:eastAsia="仿宋_GB2312" w:cs="Times New Roman"/>
          <w:b/>
          <w:bCs/>
          <w:kern w:val="0"/>
          <w:sz w:val="32"/>
          <w:szCs w:val="32"/>
        </w:rPr>
        <w:t>新型电力系统集成场景。</w:t>
      </w:r>
      <w:r>
        <w:rPr>
          <w:rFonts w:ascii="Times New Roman" w:hAnsi="Times New Roman" w:eastAsia="仿宋_GB2312" w:cs="Times New Roman"/>
          <w:kern w:val="0"/>
          <w:sz w:val="32"/>
          <w:szCs w:val="32"/>
        </w:rPr>
        <w:t>针对新能源并网消纳与电网安全稳定运行需求，开放虚拟电厂与需求侧响应、末端保供型智能微电网、电网友好型并网与柔性输电改造等综合场景。支持</w:t>
      </w:r>
      <w:r>
        <w:rPr>
          <w:rFonts w:hint="eastAsia" w:ascii="Times New Roman" w:hAnsi="Times New Roman" w:eastAsia="仿宋_GB2312" w:cs="Times New Roman"/>
          <w:kern w:val="0"/>
          <w:sz w:val="32"/>
          <w:szCs w:val="32"/>
        </w:rPr>
        <w:t>国网温州公司搭建温州市双碳智治平台、近零碳能源数智技术实验室</w:t>
      </w:r>
      <w:r>
        <w:rPr>
          <w:rFonts w:ascii="Times New Roman" w:hAnsi="Times New Roman" w:eastAsia="仿宋_GB2312" w:cs="Times New Roman"/>
          <w:kern w:val="0"/>
          <w:sz w:val="32"/>
          <w:szCs w:val="32"/>
        </w:rPr>
        <w:t>，面向企业、社区开放能效监测、负荷预测、碳足迹追踪等AI应用场景。到2028年，开放新型电力系统集成场景</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个。</w:t>
      </w:r>
      <w:r>
        <w:rPr>
          <w:rFonts w:ascii="Times New Roman" w:hAnsi="Times New Roman" w:eastAsia="楷体_GB2312" w:cs="Times New Roman"/>
          <w:kern w:val="0"/>
          <w:sz w:val="32"/>
          <w:szCs w:val="32"/>
        </w:rPr>
        <w:t>（配合单位：市发展改革委）</w:t>
      </w:r>
    </w:p>
    <w:p w14:paraId="1B2C7E7A">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13.智慧物流与供应链。（牵头单位：市发展改革委）</w:t>
      </w:r>
    </w:p>
    <w:p w14:paraId="0AD8D4D8">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开发智慧物流园区与无人配送场景。</w:t>
      </w:r>
      <w:r>
        <w:rPr>
          <w:rFonts w:ascii="Times New Roman" w:hAnsi="Times New Roman" w:eastAsia="仿宋_GB2312" w:cs="Times New Roman"/>
          <w:kern w:val="0"/>
          <w:sz w:val="32"/>
          <w:szCs w:val="32"/>
        </w:rPr>
        <w:t>在双屿物流园区、普洛斯乐清智慧物流枢纽、龙港现代智慧物流产业园等园区创新无人运输、无人装卸、无人配送、智慧仓储等场景。</w:t>
      </w:r>
      <w:r>
        <w:rPr>
          <w:rFonts w:ascii="Times New Roman" w:hAnsi="Times New Roman" w:eastAsia="仿宋_GB2312" w:cs="Times New Roman"/>
          <w:b/>
          <w:bCs/>
          <w:kern w:val="0"/>
          <w:sz w:val="32"/>
          <w:szCs w:val="32"/>
        </w:rPr>
        <w:t>开发供应链协同平台场景。</w:t>
      </w:r>
      <w:r>
        <w:rPr>
          <w:rFonts w:ascii="Times New Roman" w:hAnsi="Times New Roman" w:eastAsia="仿宋_GB2312" w:cs="Times New Roman"/>
          <w:kern w:val="0"/>
          <w:sz w:val="32"/>
          <w:szCs w:val="32"/>
        </w:rPr>
        <w:t>支持链主企业开放供应链协同平台及数据接口，将需求、交付、库存等核心数字化模块向供应商开放，实现订单、库存等数据实时共享。</w:t>
      </w:r>
      <w:r>
        <w:rPr>
          <w:rFonts w:ascii="Times New Roman" w:hAnsi="Times New Roman" w:eastAsia="仿宋_GB2312" w:cs="Times New Roman"/>
          <w:b/>
          <w:bCs/>
          <w:kern w:val="0"/>
          <w:sz w:val="32"/>
          <w:szCs w:val="32"/>
        </w:rPr>
        <w:t>开发老旧仓库智慧改造场景。</w:t>
      </w:r>
      <w:r>
        <w:rPr>
          <w:rFonts w:ascii="Times New Roman" w:hAnsi="Times New Roman" w:eastAsia="仿宋_GB2312" w:cs="Times New Roman"/>
          <w:kern w:val="0"/>
          <w:sz w:val="32"/>
          <w:szCs w:val="32"/>
        </w:rPr>
        <w:t>开放立体高标仓智能存储、共享云仓与仓配一体化、AI智慧调度等场景。到2028年，全市新增物流园区基本实现智慧仓储场景全覆盖。</w:t>
      </w:r>
      <w:r>
        <w:rPr>
          <w:rFonts w:ascii="Times New Roman" w:hAnsi="Times New Roman" w:eastAsia="楷体_GB2312" w:cs="Times New Roman"/>
          <w:kern w:val="0"/>
          <w:sz w:val="32"/>
          <w:szCs w:val="32"/>
        </w:rPr>
        <w:t>（配合单位：市交通运输局、市经信局、市商务局、市国资委）</w:t>
      </w:r>
    </w:p>
    <w:p w14:paraId="25CAECF2">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14.现代农业。（牵头单位：市农业农村局）</w:t>
      </w:r>
    </w:p>
    <w:p w14:paraId="4CBC6D1D">
      <w:pPr>
        <w:spacing w:line="560" w:lineRule="exact"/>
        <w:ind w:firstLine="643" w:firstLineChars="200"/>
        <w:jc w:val="both"/>
        <w:rPr>
          <w:rFonts w:ascii="Times New Roman" w:hAnsi="Times New Roman" w:eastAsia="仿宋_GB2312" w:cs="Times New Roman"/>
          <w:b/>
          <w:bCs/>
          <w:kern w:val="0"/>
          <w:sz w:val="32"/>
          <w:szCs w:val="32"/>
        </w:rPr>
      </w:pPr>
      <w:r>
        <w:rPr>
          <w:rFonts w:hint="eastAsia" w:ascii="Times New Roman" w:hAnsi="Times New Roman" w:eastAsia="仿宋_GB2312" w:cs="Times New Roman"/>
          <w:b/>
          <w:bCs/>
          <w:kern w:val="0"/>
          <w:sz w:val="32"/>
          <w:szCs w:val="32"/>
        </w:rPr>
        <w:t>开发种业全产业链场景。</w:t>
      </w:r>
      <w:r>
        <w:rPr>
          <w:rFonts w:hint="eastAsia" w:ascii="Times New Roman" w:hAnsi="Times New Roman" w:eastAsia="仿宋_GB2312" w:cs="Times New Roman"/>
          <w:kern w:val="0"/>
          <w:sz w:val="32"/>
          <w:szCs w:val="32"/>
        </w:rPr>
        <w:t>建设数智育苗工厂、种业育繁推一体化、智慧检疫、动物疫病监测、农作物病虫害监测防控等领域场景。建设智慧农（牧、渔）场，开展智能农机研发推广，建设一批具备数字化服务能力的农事服务中心。</w:t>
      </w:r>
      <w:r>
        <w:rPr>
          <w:rFonts w:hint="eastAsia" w:ascii="Times New Roman" w:hAnsi="Times New Roman" w:eastAsia="仿宋_GB2312" w:cs="Times New Roman"/>
          <w:b/>
          <w:bCs/>
          <w:kern w:val="0"/>
          <w:sz w:val="32"/>
          <w:szCs w:val="32"/>
        </w:rPr>
        <w:t>探索数字农场代运营服务场景。</w:t>
      </w:r>
      <w:r>
        <w:rPr>
          <w:rFonts w:hint="eastAsia" w:ascii="Times New Roman" w:hAnsi="Times New Roman" w:eastAsia="仿宋_GB2312" w:cs="Times New Roman"/>
          <w:kern w:val="0"/>
          <w:sz w:val="32"/>
          <w:szCs w:val="32"/>
        </w:rPr>
        <w:t>由专业服务商承接数字农业工厂、未来农场智能设备调度、AI农事方案生成和数字化系统运维。到2028年，建设种业振兴基地（平台）10个以上，建设有数字化服务能力的农事服务中心10个以上，培育80家省级数字农业工厂。</w:t>
      </w:r>
    </w:p>
    <w:p w14:paraId="0EF6A298">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15.海洋经济。（牵头单位：市发展改革委）</w:t>
      </w:r>
    </w:p>
    <w:p w14:paraId="2A90AC00">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开发深远海智能养殖场景。</w:t>
      </w:r>
      <w:r>
        <w:rPr>
          <w:rFonts w:hint="eastAsia" w:ascii="Times New Roman" w:hAnsi="Times New Roman" w:eastAsia="仿宋_GB2312" w:cs="Times New Roman"/>
          <w:kern w:val="0"/>
          <w:sz w:val="32"/>
          <w:szCs w:val="32"/>
        </w:rPr>
        <w:t>打造深远海养殖试点，布局新型深远海养殖平台和智能化养殖设施，推广智慧养殖管控系统。</w:t>
      </w:r>
      <w:r>
        <w:rPr>
          <w:rFonts w:ascii="Times New Roman" w:hAnsi="Times New Roman" w:eastAsia="仿宋_GB2312" w:cs="Times New Roman"/>
          <w:kern w:val="0"/>
          <w:sz w:val="32"/>
          <w:szCs w:val="32"/>
        </w:rPr>
        <w:t>到2028年，开放深远海智能养殖场景2个。</w:t>
      </w:r>
      <w:r>
        <w:rPr>
          <w:rFonts w:ascii="Times New Roman" w:hAnsi="Times New Roman" w:eastAsia="仿宋_GB2312" w:cs="Times New Roman"/>
          <w:b/>
          <w:bCs/>
          <w:kern w:val="0"/>
          <w:sz w:val="32"/>
          <w:szCs w:val="32"/>
        </w:rPr>
        <w:t>开发智慧港口场景。</w:t>
      </w:r>
      <w:r>
        <w:rPr>
          <w:rFonts w:hint="eastAsia" w:ascii="Times New Roman" w:hAnsi="Times New Roman" w:eastAsia="仿宋_GB2312" w:cs="Times New Roman"/>
          <w:b w:val="0"/>
          <w:bCs w:val="0"/>
          <w:kern w:val="0"/>
          <w:sz w:val="32"/>
          <w:szCs w:val="32"/>
        </w:rPr>
        <w:t>推动乐清湾码头自动化集装箱泊位建设，</w:t>
      </w:r>
      <w:r>
        <w:rPr>
          <w:rFonts w:hint="eastAsia" w:ascii="Times New Roman" w:hAnsi="Times New Roman" w:eastAsia="仿宋_GB2312" w:cs="Times New Roman"/>
          <w:kern w:val="0"/>
          <w:sz w:val="32"/>
          <w:szCs w:val="32"/>
        </w:rPr>
        <w:t>推进码头作业设备智能化、自动化升级</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kern w:val="0"/>
          <w:sz w:val="32"/>
          <w:szCs w:val="32"/>
        </w:rPr>
        <w:t>到2028年，建设智慧港口场景1个。</w:t>
      </w:r>
      <w:r>
        <w:rPr>
          <w:rFonts w:ascii="Times New Roman" w:hAnsi="Times New Roman" w:eastAsia="楷体_GB2312" w:cs="Times New Roman"/>
          <w:kern w:val="0"/>
          <w:sz w:val="32"/>
          <w:szCs w:val="32"/>
        </w:rPr>
        <w:t>（配合单位：市农业农村局、市资规局、市交通运输局、温州港集团）</w:t>
      </w:r>
    </w:p>
    <w:p w14:paraId="35039474">
      <w:pPr>
        <w:spacing w:line="560" w:lineRule="exact"/>
        <w:ind w:firstLine="640" w:firstLineChars="200"/>
        <w:jc w:val="both"/>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（三）构建一批智慧监管新范式场景</w:t>
      </w:r>
    </w:p>
    <w:p w14:paraId="48A323AC">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运用人工智能、物联网、数字孪生等技术，推动</w:t>
      </w:r>
      <w:r>
        <w:rPr>
          <w:rFonts w:hint="eastAsia" w:ascii="Times New Roman" w:hAnsi="Times New Roman" w:eastAsia="仿宋_GB2312" w:cs="Times New Roman"/>
          <w:kern w:val="0"/>
          <w:sz w:val="32"/>
          <w:szCs w:val="32"/>
        </w:rPr>
        <w:t>应急、交通、水利、住建等</w:t>
      </w:r>
      <w:r>
        <w:rPr>
          <w:rFonts w:ascii="Times New Roman" w:hAnsi="Times New Roman" w:eastAsia="仿宋_GB2312" w:cs="Times New Roman"/>
          <w:kern w:val="0"/>
          <w:sz w:val="32"/>
          <w:szCs w:val="32"/>
        </w:rPr>
        <w:t>行业监管从“被动响应”向“主动预见”转变，提升行业治理智慧化水平。</w:t>
      </w:r>
    </w:p>
    <w:p w14:paraId="2284B41C">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16.应急管理。（牵头单位：市应急管理局）</w:t>
      </w:r>
    </w:p>
    <w:p w14:paraId="7FDE37FB">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开发城市安全感知与应急预警场景。</w:t>
      </w:r>
      <w:r>
        <w:rPr>
          <w:rFonts w:ascii="Times New Roman" w:hAnsi="Times New Roman" w:eastAsia="仿宋_GB2312" w:cs="Times New Roman"/>
          <w:kern w:val="0"/>
          <w:sz w:val="32"/>
          <w:szCs w:val="32"/>
        </w:rPr>
        <w:t>支持各地部署无人机自动机库，开放山林防火、河道巡查、危化品园区AI自动识别告警等场景，深化森林防火、防汛防台、危化安全等监测预警场景应用。</w:t>
      </w:r>
      <w:r>
        <w:rPr>
          <w:rFonts w:hint="eastAsia" w:ascii="Times New Roman" w:hAnsi="Times New Roman" w:eastAsia="仿宋_GB2312" w:cs="Times New Roman"/>
          <w:kern w:val="0"/>
          <w:sz w:val="32"/>
          <w:szCs w:val="32"/>
        </w:rPr>
        <w:t>到2028年，新增应急领域拓展应用2个以上</w:t>
      </w:r>
      <w:r>
        <w:rPr>
          <w:rFonts w:ascii="Times New Roman" w:hAnsi="Times New Roman" w:eastAsia="仿宋_GB2312" w:cs="Times New Roman"/>
          <w:kern w:val="0"/>
          <w:sz w:val="32"/>
          <w:szCs w:val="32"/>
        </w:rPr>
        <w:t>。</w:t>
      </w:r>
    </w:p>
    <w:p w14:paraId="38667E49">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17.智慧交通。（牵头单位：市交通运输局）</w:t>
      </w:r>
    </w:p>
    <w:p w14:paraId="22F3368B">
      <w:pPr>
        <w:spacing w:line="560" w:lineRule="exact"/>
        <w:ind w:firstLine="643" w:firstLineChars="200"/>
        <w:jc w:val="both"/>
        <w:rPr>
          <w:rFonts w:ascii="Times New Roman" w:hAnsi="Times New Roman" w:eastAsia="仿宋_GB2312" w:cs="Times New Roman"/>
          <w:kern w:val="0"/>
          <w:sz w:val="32"/>
          <w:szCs w:val="32"/>
          <w:highlight w:val="yellow"/>
        </w:rPr>
      </w:pPr>
      <w:r>
        <w:rPr>
          <w:rFonts w:ascii="Times New Roman" w:hAnsi="Times New Roman" w:eastAsia="仿宋_GB2312" w:cs="Times New Roman"/>
          <w:b/>
          <w:bCs/>
          <w:kern w:val="0"/>
          <w:sz w:val="32"/>
          <w:szCs w:val="32"/>
        </w:rPr>
        <w:t>开发智能巡检与养护场景。</w:t>
      </w:r>
      <w:r>
        <w:rPr>
          <w:rFonts w:ascii="Times New Roman" w:hAnsi="Times New Roman" w:eastAsia="仿宋_GB2312" w:cs="Times New Roman"/>
          <w:kern w:val="0"/>
          <w:sz w:val="32"/>
          <w:szCs w:val="32"/>
        </w:rPr>
        <w:t>针对公路、港口、航道、轨道等交通基础设施巡检效率低等痛点，开放路基路面病害监测、桥梁隧道监测监控、轨道设备异常监测等场景，推广无人机集群智能巡检应用与养护决策智能体。到2028年，开放交通基础设施智能监测场景4个。</w:t>
      </w:r>
      <w:r>
        <w:rPr>
          <w:rFonts w:ascii="Times New Roman" w:hAnsi="Times New Roman" w:eastAsia="仿宋_GB2312" w:cs="Times New Roman"/>
          <w:b/>
          <w:bCs/>
          <w:kern w:val="0"/>
          <w:sz w:val="32"/>
          <w:szCs w:val="32"/>
        </w:rPr>
        <w:t>开发智慧交通信号管控场景。</w:t>
      </w:r>
      <w:r>
        <w:rPr>
          <w:rFonts w:ascii="Times New Roman" w:hAnsi="Times New Roman" w:eastAsia="仿宋_GB2312" w:cs="Times New Roman"/>
          <w:kern w:val="0"/>
          <w:sz w:val="32"/>
          <w:szCs w:val="32"/>
        </w:rPr>
        <w:t>针对城市交通拥堵治理难、信号灯配时不够优化等痛点，</w:t>
      </w:r>
      <w:r>
        <w:rPr>
          <w:rFonts w:hint="eastAsia" w:ascii="Times New Roman" w:hAnsi="Times New Roman" w:eastAsia="仿宋_GB2312" w:cs="Times New Roman"/>
          <w:kern w:val="0"/>
          <w:sz w:val="32"/>
          <w:szCs w:val="32"/>
        </w:rPr>
        <w:t>探索AI信控系统建设</w:t>
      </w:r>
      <w:r>
        <w:rPr>
          <w:rFonts w:ascii="Times New Roman" w:hAnsi="Times New Roman" w:eastAsia="仿宋_GB2312" w:cs="Times New Roman"/>
          <w:kern w:val="0"/>
          <w:sz w:val="32"/>
          <w:szCs w:val="32"/>
        </w:rPr>
        <w:t>，开放数智绿波信号灯动态优化、交通流量智能调度等场景，招引智慧交通解决方案商、AI算法企业来温开展产品测试与落地验证。到2028年，开放智慧交通信号管控场景</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个。</w:t>
      </w:r>
      <w:r>
        <w:rPr>
          <w:rFonts w:ascii="Times New Roman" w:hAnsi="Times New Roman" w:eastAsia="仿宋_GB2312" w:cs="Times New Roman"/>
          <w:b/>
          <w:bCs/>
          <w:kern w:val="0"/>
          <w:sz w:val="32"/>
          <w:szCs w:val="32"/>
        </w:rPr>
        <w:t>开发综合交通智慧协同场景。</w:t>
      </w:r>
      <w:r>
        <w:rPr>
          <w:rFonts w:ascii="Times New Roman" w:hAnsi="Times New Roman" w:eastAsia="仿宋_GB2312" w:cs="Times New Roman"/>
          <w:kern w:val="0"/>
          <w:sz w:val="32"/>
          <w:szCs w:val="32"/>
        </w:rPr>
        <w:t>针对交通枢纽多方式衔接不畅、旅客换乘效率低等痛点，开放多方式出行智能引导、枢纽客流动态调度等场景。</w:t>
      </w:r>
      <w:r>
        <w:rPr>
          <w:rFonts w:ascii="Times New Roman" w:hAnsi="Times New Roman" w:eastAsia="仿宋_GB2312" w:cs="Times New Roman"/>
          <w:b/>
          <w:bCs/>
          <w:kern w:val="0"/>
          <w:sz w:val="32"/>
          <w:szCs w:val="32"/>
        </w:rPr>
        <w:t>开发智慧停车与出行服务场景。</w:t>
      </w:r>
      <w:r>
        <w:rPr>
          <w:rFonts w:ascii="Times New Roman" w:hAnsi="Times New Roman" w:eastAsia="仿宋_GB2312" w:cs="Times New Roman"/>
          <w:kern w:val="0"/>
          <w:sz w:val="32"/>
          <w:szCs w:val="32"/>
        </w:rPr>
        <w:t>整合全市停车场库资源，开放停车泊位实时查询、智能导航、“停车+充电”一站式服务等场景。</w:t>
      </w:r>
      <w:r>
        <w:rPr>
          <w:rFonts w:hint="eastAsia" w:ascii="Times New Roman" w:hAnsi="Times New Roman" w:eastAsia="仿宋_GB2312" w:cs="Times New Roman"/>
          <w:kern w:val="0"/>
          <w:sz w:val="32"/>
          <w:szCs w:val="32"/>
          <w:lang w:eastAsia="zh-CN"/>
        </w:rPr>
        <w:t>（</w:t>
      </w:r>
      <w:r>
        <w:rPr>
          <w:rFonts w:ascii="Times New Roman" w:hAnsi="Times New Roman" w:eastAsia="楷体_GB2312" w:cs="Times New Roman"/>
          <w:kern w:val="0"/>
          <w:sz w:val="32"/>
          <w:szCs w:val="32"/>
        </w:rPr>
        <w:t>配合单位：</w:t>
      </w:r>
      <w:r>
        <w:rPr>
          <w:rFonts w:hint="eastAsia" w:ascii="Times New Roman" w:hAnsi="Times New Roman" w:eastAsia="楷体_GB2312" w:cs="Times New Roman"/>
          <w:kern w:val="0"/>
          <w:sz w:val="32"/>
          <w:szCs w:val="32"/>
          <w:lang w:eastAsia="zh-CN"/>
        </w:rPr>
        <w:t>市公安局、市国资委</w:t>
      </w:r>
      <w:r>
        <w:rPr>
          <w:rFonts w:hint="eastAsia" w:ascii="Times New Roman" w:hAnsi="Times New Roman" w:eastAsia="仿宋_GB2312" w:cs="Times New Roman"/>
          <w:kern w:val="0"/>
          <w:sz w:val="32"/>
          <w:szCs w:val="32"/>
          <w:lang w:eastAsia="zh-CN"/>
        </w:rPr>
        <w:t>）</w:t>
      </w:r>
    </w:p>
    <w:p w14:paraId="7D12896C">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18.智慧水利。（牵头单位：市水利局）</w:t>
      </w:r>
    </w:p>
    <w:p w14:paraId="395BE226">
      <w:pPr>
        <w:spacing w:line="560" w:lineRule="exact"/>
        <w:ind w:firstLine="643" w:firstLineChars="200"/>
        <w:jc w:val="both"/>
        <w:rPr>
          <w:rFonts w:ascii="Times New Roman" w:hAnsi="Times New Roman" w:eastAsia="仿宋_GB2312" w:cs="Times New Roman"/>
          <w:bCs/>
          <w:kern w:val="0"/>
          <w:sz w:val="32"/>
          <w:szCs w:val="32"/>
        </w:rPr>
      </w:pPr>
      <w:r>
        <w:rPr>
          <w:rFonts w:ascii="Times New Roman" w:hAnsi="Times New Roman" w:eastAsia="仿宋_GB2312" w:cs="Times New Roman"/>
          <w:b/>
          <w:bCs/>
          <w:kern w:val="0"/>
          <w:sz w:val="32"/>
          <w:szCs w:val="32"/>
        </w:rPr>
        <w:t>开发数字孪生流域场景</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bCs/>
          <w:kern w:val="0"/>
          <w:sz w:val="32"/>
          <w:szCs w:val="32"/>
        </w:rPr>
        <w:t>针对流域防洪调度精准度不足、山洪灾害预警响应慢等痛点，以流域为单元，开发监测预警、预报调度、会商决策等场景</w:t>
      </w:r>
      <w:r>
        <w:rPr>
          <w:rFonts w:hint="eastAsia"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到2028年，开放数字孪生流域场景3个。</w:t>
      </w:r>
      <w:r>
        <w:rPr>
          <w:rFonts w:ascii="Times New Roman" w:hAnsi="Times New Roman" w:eastAsia="仿宋_GB2312" w:cs="Times New Roman"/>
          <w:b/>
          <w:bCs/>
          <w:kern w:val="0"/>
          <w:sz w:val="32"/>
          <w:szCs w:val="32"/>
        </w:rPr>
        <w:t>开发数字孪生水网场景</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bCs/>
          <w:kern w:val="0"/>
          <w:sz w:val="32"/>
          <w:szCs w:val="32"/>
        </w:rPr>
        <w:t>聚焦水资源管理与调配、生态用水调度、工程安全管理等业务，以全市水网格局为基础，以重要水源、受水区、引配水通道等为对象，开发供水安全、水质安全、工程安全等场景</w:t>
      </w:r>
      <w:r>
        <w:rPr>
          <w:rFonts w:hint="eastAsia"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到2028年，开放数字孪生水网场景1个。</w:t>
      </w:r>
      <w:r>
        <w:rPr>
          <w:rFonts w:ascii="Times New Roman" w:hAnsi="Times New Roman" w:eastAsia="仿宋_GB2312" w:cs="Times New Roman"/>
          <w:b/>
          <w:bCs/>
          <w:kern w:val="0"/>
          <w:sz w:val="32"/>
          <w:szCs w:val="32"/>
        </w:rPr>
        <w:t>开发数字孪生工程场景</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bCs/>
          <w:kern w:val="0"/>
          <w:sz w:val="32"/>
          <w:szCs w:val="32"/>
        </w:rPr>
        <w:t>锚定保障水利工程安全、效益充分发挥的目标，结合“千项万亿”水网安澜提升工程等，对数字孪生流域重要节点，水资源配置通道重要节点，重要水利工程开发在线监测、方案预演、问题发现、优化调度、安全保障等场景</w:t>
      </w:r>
      <w:r>
        <w:rPr>
          <w:rFonts w:hint="eastAsia"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到2028年，开放数字孪生工程场景5个。</w:t>
      </w:r>
    </w:p>
    <w:p w14:paraId="4FA82EB8">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19.施工安全。（牵头单位：市住建局）</w:t>
      </w:r>
    </w:p>
    <w:p w14:paraId="352814FB">
      <w:pPr>
        <w:spacing w:line="560" w:lineRule="exact"/>
        <w:ind w:firstLine="643" w:firstLineChars="200"/>
        <w:jc w:val="both"/>
        <w:rPr>
          <w:rFonts w:ascii="Times New Roman" w:hAnsi="Times New Roman" w:eastAsia="仿宋_GB2312" w:cs="Times New Roman"/>
          <w:kern w:val="0"/>
          <w:sz w:val="32"/>
          <w:szCs w:val="32"/>
        </w:rPr>
      </w:pPr>
      <w:r>
        <w:rPr>
          <w:rFonts w:hint="eastAsia" w:ascii="Times New Roman" w:hAnsi="Times New Roman" w:eastAsia="仿宋_GB2312" w:cs="Times New Roman"/>
          <w:b/>
          <w:bCs/>
          <w:kern w:val="0"/>
          <w:sz w:val="32"/>
          <w:szCs w:val="32"/>
          <w:lang w:eastAsia="zh-CN"/>
        </w:rPr>
        <w:t>开发</w:t>
      </w:r>
      <w:r>
        <w:rPr>
          <w:rFonts w:hint="eastAsia" w:ascii="Times New Roman" w:hAnsi="Times New Roman" w:eastAsia="仿宋_GB2312" w:cs="Times New Roman"/>
          <w:b/>
          <w:bCs/>
          <w:kern w:val="0"/>
          <w:sz w:val="32"/>
          <w:szCs w:val="32"/>
        </w:rPr>
        <w:t>施工安全智能监管场景。</w:t>
      </w:r>
      <w:r>
        <w:rPr>
          <w:rFonts w:ascii="Times New Roman" w:hAnsi="Times New Roman" w:eastAsia="仿宋_GB2312" w:cs="Times New Roman"/>
          <w:kern w:val="0"/>
          <w:sz w:val="32"/>
          <w:szCs w:val="32"/>
        </w:rPr>
        <w:t>建设房屋市政工程安全隐患识别和智能处置平台，试点推广“工地随手拍”智能巡检应用。推进交通工程重大项目隐患识别“AI智能算法”“安全人工智能体”研发，建设监督检查、风险管控、隐患排查等应用场景。到2028年，应用智能巡检的工地数达到1000个以上。</w:t>
      </w:r>
      <w:r>
        <w:rPr>
          <w:rFonts w:ascii="Times New Roman" w:hAnsi="Times New Roman" w:eastAsia="楷体_GB2312" w:cs="Times New Roman"/>
          <w:kern w:val="0"/>
          <w:sz w:val="32"/>
          <w:szCs w:val="32"/>
        </w:rPr>
        <w:t>（配合单位：市交通运输局、市国资委）</w:t>
      </w:r>
    </w:p>
    <w:p w14:paraId="1364A433">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（四）创新一批社会治理新模式场景</w:t>
      </w:r>
    </w:p>
    <w:p w14:paraId="6BA28628">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以人工智能技术赋能政务服务</w:t>
      </w:r>
      <w:r>
        <w:rPr>
          <w:rFonts w:hint="eastAsia" w:ascii="Times New Roman" w:hAnsi="Times New Roman" w:eastAsia="仿宋_GB2312" w:cs="Times New Roman"/>
          <w:kern w:val="0"/>
          <w:sz w:val="32"/>
          <w:szCs w:val="32"/>
        </w:rPr>
        <w:t>、未来人居、城市管理、和美乡村建设等</w:t>
      </w:r>
      <w:r>
        <w:rPr>
          <w:rFonts w:ascii="Times New Roman" w:hAnsi="Times New Roman" w:eastAsia="仿宋_GB2312" w:cs="Times New Roman"/>
          <w:kern w:val="0"/>
          <w:sz w:val="32"/>
          <w:szCs w:val="32"/>
        </w:rPr>
        <w:t>，推动城市治理效能提升和智能化城市建设。</w:t>
      </w:r>
    </w:p>
    <w:p w14:paraId="37C93D2E">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20.智慧政务。（牵头单位：市政务服务局、市数据局</w:t>
      </w:r>
      <w:r>
        <w:rPr>
          <w:rFonts w:hint="eastAsia" w:ascii="Times New Roman" w:hAnsi="Times New Roman" w:eastAsia="仿宋_GB2312" w:cs="Times New Roman"/>
          <w:b/>
          <w:bCs/>
          <w:kern w:val="0"/>
          <w:sz w:val="32"/>
          <w:szCs w:val="32"/>
          <w:lang w:eastAsia="zh-CN"/>
        </w:rPr>
        <w:t>〈</w:t>
      </w:r>
      <w:r>
        <w:rPr>
          <w:rFonts w:hint="eastAsia" w:ascii="Times New Roman" w:hAnsi="Times New Roman" w:eastAsia="仿宋_GB2312" w:cs="Times New Roman"/>
          <w:b/>
          <w:bCs/>
          <w:kern w:val="0"/>
          <w:sz w:val="32"/>
          <w:szCs w:val="32"/>
        </w:rPr>
        <w:t>市人工智能局</w:t>
      </w:r>
      <w:r>
        <w:rPr>
          <w:rFonts w:hint="eastAsia" w:ascii="Times New Roman" w:hAnsi="Times New Roman" w:eastAsia="仿宋_GB2312" w:cs="Times New Roman"/>
          <w:b/>
          <w:bCs/>
          <w:kern w:val="0"/>
          <w:sz w:val="32"/>
          <w:szCs w:val="32"/>
          <w:lang w:eastAsia="zh-CN"/>
        </w:rPr>
        <w:t>〉</w:t>
      </w:r>
      <w:r>
        <w:rPr>
          <w:rFonts w:ascii="Times New Roman" w:hAnsi="Times New Roman" w:eastAsia="仿宋_GB2312" w:cs="Times New Roman"/>
          <w:b/>
          <w:bCs/>
          <w:kern w:val="0"/>
          <w:sz w:val="32"/>
          <w:szCs w:val="32"/>
        </w:rPr>
        <w:t>）</w:t>
      </w:r>
    </w:p>
    <w:p w14:paraId="45E18231">
      <w:pPr>
        <w:spacing w:line="560" w:lineRule="exact"/>
        <w:ind w:firstLine="643" w:firstLineChars="200"/>
        <w:jc w:val="both"/>
        <w:outlineLvl w:val="2"/>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开发政务智能服务场景。</w:t>
      </w:r>
      <w:r>
        <w:rPr>
          <w:rFonts w:ascii="Times New Roman" w:hAnsi="Times New Roman" w:eastAsia="仿宋_GB2312" w:cs="Times New Roman"/>
          <w:kern w:val="0"/>
          <w:sz w:val="32"/>
          <w:szCs w:val="32"/>
        </w:rPr>
        <w:t>为破解企业群众前期获取信息不精准等痛点难点，以及提升服务效能，开发政务智能导服、综窗辅助收件、政府采购公平竞争审查等场景，提升政务服务智能化水平。</w:t>
      </w:r>
      <w:r>
        <w:rPr>
          <w:rFonts w:ascii="Times New Roman" w:hAnsi="Times New Roman" w:eastAsia="仿宋_GB2312" w:cs="Times New Roman"/>
          <w:b/>
          <w:bCs/>
          <w:kern w:val="0"/>
          <w:sz w:val="32"/>
          <w:szCs w:val="32"/>
        </w:rPr>
        <w:t>开发智慧城市安全治理场景。</w:t>
      </w:r>
      <w:r>
        <w:rPr>
          <w:rFonts w:ascii="Times New Roman" w:hAnsi="Times New Roman" w:eastAsia="仿宋_GB2312" w:cs="Times New Roman"/>
          <w:kern w:val="0"/>
          <w:sz w:val="32"/>
          <w:szCs w:val="32"/>
        </w:rPr>
        <w:t>针对城市安防巡逻效率低、低空安全管理难、诈骗手段迭代快等痛点，开放智能安防、低空警务、城市巡逻、AI反诈等场景。</w:t>
      </w:r>
      <w:r>
        <w:rPr>
          <w:rFonts w:ascii="Times New Roman" w:hAnsi="Times New Roman" w:eastAsia="楷体_GB2312" w:cs="Times New Roman"/>
          <w:kern w:val="0"/>
          <w:sz w:val="32"/>
          <w:szCs w:val="32"/>
        </w:rPr>
        <w:t>（配合单位：</w:t>
      </w:r>
      <w:r>
        <w:rPr>
          <w:rFonts w:hint="eastAsia" w:ascii="Times New Roman" w:hAnsi="Times New Roman" w:eastAsia="楷体_GB2312" w:cs="Times New Roman"/>
          <w:kern w:val="0"/>
          <w:sz w:val="32"/>
          <w:szCs w:val="32"/>
        </w:rPr>
        <w:t>市财政局、</w:t>
      </w:r>
      <w:r>
        <w:rPr>
          <w:rFonts w:ascii="Times New Roman" w:hAnsi="Times New Roman" w:eastAsia="楷体_GB2312" w:cs="Times New Roman"/>
          <w:kern w:val="0"/>
          <w:sz w:val="32"/>
          <w:szCs w:val="32"/>
        </w:rPr>
        <w:t>市公安局）</w:t>
      </w:r>
    </w:p>
    <w:p w14:paraId="37468352">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21.未来人居。（牵头单位：市住建局）</w:t>
      </w:r>
    </w:p>
    <w:p w14:paraId="68F014B3">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开发绿色低碳建筑场景。</w:t>
      </w:r>
      <w:r>
        <w:rPr>
          <w:rFonts w:ascii="Times New Roman" w:hAnsi="Times New Roman" w:eastAsia="仿宋_GB2312" w:cs="Times New Roman"/>
          <w:kern w:val="0"/>
          <w:sz w:val="32"/>
          <w:szCs w:val="32"/>
        </w:rPr>
        <w:t>推进光伏等可再生能源在建筑领域的应用，鼓励“光伏+储能+充电”一体化开发，推动光伏发电就地消纳。加快绿色建筑、超低能耗建筑建设，探索既有建筑节能改造与数字化管理。到2028年，新增太阳能光伏建筑一体化装机容量12.9万千瓦，实施高星级绿色建筑、超低能耗建筑10个以上。</w:t>
      </w:r>
      <w:r>
        <w:rPr>
          <w:rFonts w:ascii="Times New Roman" w:hAnsi="Times New Roman" w:eastAsia="仿宋_GB2312" w:cs="Times New Roman"/>
          <w:b/>
          <w:bCs/>
          <w:kern w:val="0"/>
          <w:sz w:val="32"/>
          <w:szCs w:val="32"/>
        </w:rPr>
        <w:t>发展智能宜居场景。</w:t>
      </w:r>
      <w:r>
        <w:rPr>
          <w:rFonts w:ascii="Times New Roman" w:hAnsi="Times New Roman" w:eastAsia="仿宋_GB2312" w:cs="Times New Roman"/>
          <w:kern w:val="0"/>
          <w:sz w:val="32"/>
          <w:szCs w:val="32"/>
        </w:rPr>
        <w:t>鼓励企业打造家装设计智能体，集成需求分析、方案设计、生产对接等功能。支持开发烟感、燃气、水浸等智能报警器，推广智能家居终端应用。推进新建住宅智能产品配置，鼓励既有住宅开展设备智能化改造，预留居家异常行为监控、紧急呼叫等安装条件。到2028年，打造智能家居场景样板10个。</w:t>
      </w:r>
      <w:r>
        <w:rPr>
          <w:rFonts w:ascii="Times New Roman" w:hAnsi="Times New Roman" w:eastAsia="仿宋_GB2312" w:cs="Times New Roman"/>
          <w:b/>
          <w:bCs/>
          <w:kern w:val="0"/>
          <w:sz w:val="32"/>
          <w:szCs w:val="32"/>
        </w:rPr>
        <w:t>培育开放智能建造场景。</w:t>
      </w:r>
      <w:r>
        <w:rPr>
          <w:rFonts w:ascii="Times New Roman" w:hAnsi="Times New Roman" w:eastAsia="仿宋_GB2312" w:cs="Times New Roman"/>
          <w:kern w:val="0"/>
          <w:sz w:val="32"/>
          <w:szCs w:val="32"/>
        </w:rPr>
        <w:t>推广建筑机器人、自动化施工机械创新应用，建立智能机器人施工定额，逐步在喷涂、抹灰、混凝土施工等工序中普及应用，逐步拓展运用场景，提高项目覆盖率。到2028年，应用智能建造技术的工程建设项目达到30%以上。</w:t>
      </w:r>
      <w:r>
        <w:rPr>
          <w:rFonts w:hint="eastAsia" w:ascii="Times New Roman" w:hAnsi="Times New Roman" w:eastAsia="仿宋_GB2312" w:cs="Times New Roman"/>
          <w:b/>
          <w:bCs/>
          <w:kern w:val="0"/>
          <w:sz w:val="32"/>
          <w:szCs w:val="32"/>
        </w:rPr>
        <w:t>开发</w:t>
      </w:r>
      <w:r>
        <w:rPr>
          <w:rFonts w:ascii="Times New Roman" w:hAnsi="Times New Roman" w:eastAsia="仿宋_GB2312" w:cs="Times New Roman"/>
          <w:b/>
          <w:bCs/>
          <w:kern w:val="0"/>
          <w:sz w:val="32"/>
          <w:szCs w:val="32"/>
        </w:rPr>
        <w:t>房屋安全监管场景。</w:t>
      </w:r>
      <w:r>
        <w:rPr>
          <w:rFonts w:ascii="Times New Roman" w:hAnsi="Times New Roman" w:eastAsia="仿宋_GB2312" w:cs="Times New Roman"/>
          <w:kern w:val="0"/>
          <w:sz w:val="32"/>
          <w:szCs w:val="32"/>
        </w:rPr>
        <w:t>构建“天空地一体化”智能监测预警体系，利用遥感、传感技术和AI算法，对建筑结构变形、沉降、裂缝等关键指标实时监测，实现异常自动预警与隐患等级评估。到2028年，应用智能监测技术的房屋建筑达到500幢以上。</w:t>
      </w:r>
    </w:p>
    <w:p w14:paraId="1EBB3ADD">
      <w:pPr>
        <w:spacing w:line="560" w:lineRule="exact"/>
        <w:ind w:firstLine="643" w:firstLineChars="200"/>
        <w:jc w:val="both"/>
        <w:outlineLvl w:val="2"/>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22.城市管理。（牵头单位：市综合行政执法局）</w:t>
      </w:r>
    </w:p>
    <w:p w14:paraId="3CD7A0D4">
      <w:pPr>
        <w:spacing w:line="560" w:lineRule="exact"/>
        <w:ind w:firstLine="643" w:firstLineChars="200"/>
        <w:jc w:val="both"/>
        <w:outlineLvl w:val="2"/>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开发智慧环卫场景。</w:t>
      </w:r>
      <w:r>
        <w:rPr>
          <w:rFonts w:ascii="Times New Roman" w:hAnsi="Times New Roman" w:eastAsia="仿宋_GB2312" w:cs="Times New Roman"/>
          <w:kern w:val="0"/>
          <w:sz w:val="32"/>
          <w:szCs w:val="32"/>
        </w:rPr>
        <w:t>鼓励各地围绕道路清扫、洒水抑尘、巡回保洁等作业场景积极探索无人环卫车应用</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到2028年，无人环卫试点县（市、区）不少于3个。</w:t>
      </w:r>
      <w:r>
        <w:rPr>
          <w:rFonts w:ascii="Times New Roman" w:hAnsi="Times New Roman" w:eastAsia="仿宋_GB2312" w:cs="Times New Roman"/>
          <w:b/>
          <w:bCs/>
          <w:kern w:val="0"/>
          <w:sz w:val="32"/>
          <w:szCs w:val="32"/>
        </w:rPr>
        <w:t>开发城市管理问题智能采集场景。</w:t>
      </w:r>
      <w:r>
        <w:rPr>
          <w:rFonts w:ascii="Times New Roman" w:hAnsi="Times New Roman" w:eastAsia="仿宋_GB2312" w:cs="Times New Roman"/>
          <w:kern w:val="0"/>
          <w:sz w:val="32"/>
          <w:szCs w:val="32"/>
        </w:rPr>
        <w:t>迭代升级“智慧城管”，通过接入AI智能采集设备、优化AI识别算法，实现城市管理问题自动采集上报，构建“天地空一体化”的智能采集模式。到2028年，先行打造市区AI智能采集线路120条，智能采集AI识别小类数达45个。</w:t>
      </w:r>
    </w:p>
    <w:p w14:paraId="603484C5">
      <w:pPr>
        <w:spacing w:line="560" w:lineRule="exact"/>
        <w:ind w:firstLine="643" w:firstLineChars="200"/>
        <w:jc w:val="both"/>
        <w:outlineLvl w:val="2"/>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23.和美乡村。（牵头单位：市农业农村局）</w:t>
      </w:r>
    </w:p>
    <w:p w14:paraId="658932F6">
      <w:pPr>
        <w:spacing w:line="560" w:lineRule="exact"/>
        <w:ind w:firstLine="643" w:firstLineChars="200"/>
        <w:jc w:val="both"/>
        <w:outlineLvl w:val="2"/>
        <w:rPr>
          <w:rFonts w:ascii="Times New Roman" w:hAnsi="Times New Roman" w:eastAsia="仿宋_GB2312" w:cs="Times New Roman"/>
          <w:kern w:val="0"/>
          <w:sz w:val="32"/>
          <w:szCs w:val="32"/>
        </w:rPr>
      </w:pPr>
      <w:r>
        <w:rPr>
          <w:rFonts w:hint="eastAsia" w:ascii="Times New Roman" w:hAnsi="Times New Roman" w:eastAsia="仿宋_GB2312" w:cs="Times New Roman"/>
          <w:b/>
          <w:bCs/>
          <w:kern w:val="0"/>
          <w:sz w:val="32"/>
          <w:szCs w:val="32"/>
        </w:rPr>
        <w:t>开发乡村组团片区互联互通场景。</w:t>
      </w:r>
      <w:r>
        <w:rPr>
          <w:rFonts w:ascii="Times New Roman" w:hAnsi="Times New Roman" w:eastAsia="仿宋_GB2312" w:cs="Times New Roman"/>
          <w:kern w:val="0"/>
          <w:sz w:val="32"/>
          <w:szCs w:val="32"/>
        </w:rPr>
        <w:t>推进乡村片区组团发展，支持组团片区交通、物流等基础设施建设。加快培育休闲露营、农事体验、康养疗愈等新产业新业态，探索发展众筹农业、共享农庄、数字游民社区等新模式。</w:t>
      </w:r>
      <w:r>
        <w:rPr>
          <w:rFonts w:hint="eastAsia" w:ascii="Times New Roman" w:hAnsi="Times New Roman" w:eastAsia="仿宋_GB2312" w:cs="Times New Roman"/>
          <w:b/>
          <w:bCs/>
          <w:kern w:val="0"/>
          <w:sz w:val="32"/>
          <w:szCs w:val="32"/>
        </w:rPr>
        <w:t>开发乡村数智融合创新应用场景。</w:t>
      </w:r>
      <w:r>
        <w:rPr>
          <w:rFonts w:hint="eastAsia" w:ascii="Times New Roman" w:hAnsi="Times New Roman" w:eastAsia="仿宋_GB2312" w:cs="Times New Roman"/>
          <w:kern w:val="0"/>
          <w:sz w:val="32"/>
          <w:szCs w:val="32"/>
        </w:rPr>
        <w:t>依托“浙农经管2.0”，建立乡村资源资产数据库，构建村集体资产一码管理机制，探索推进省市县一体化农村产权交易数据体系建设。</w:t>
      </w:r>
      <w:r>
        <w:rPr>
          <w:rFonts w:ascii="Times New Roman" w:hAnsi="Times New Roman" w:eastAsia="仿宋_GB2312" w:cs="Times New Roman"/>
          <w:kern w:val="0"/>
          <w:sz w:val="32"/>
          <w:szCs w:val="32"/>
        </w:rPr>
        <w:t>到202</w:t>
      </w:r>
      <w:r>
        <w:rPr>
          <w:rFonts w:hint="eastAsia" w:ascii="Times New Roman" w:hAnsi="Times New Roman" w:eastAsia="仿宋_GB2312" w:cs="Times New Roman"/>
          <w:kern w:val="0"/>
          <w:sz w:val="32"/>
          <w:szCs w:val="32"/>
        </w:rPr>
        <w:t>8</w:t>
      </w:r>
      <w:r>
        <w:rPr>
          <w:rFonts w:ascii="Times New Roman" w:hAnsi="Times New Roman" w:eastAsia="仿宋_GB2312" w:cs="Times New Roman"/>
          <w:kern w:val="0"/>
          <w:sz w:val="32"/>
          <w:szCs w:val="32"/>
        </w:rPr>
        <w:t>年，累计建设省级重点村组团片区60个，辐射带动300个以上周边村协同发展</w:t>
      </w:r>
      <w:r>
        <w:rPr>
          <w:rFonts w:hint="eastAsia" w:ascii="Times New Roman" w:hAnsi="Times New Roman" w:eastAsia="仿宋_GB2312" w:cs="Times New Roman"/>
          <w:kern w:val="0"/>
          <w:sz w:val="32"/>
          <w:szCs w:val="32"/>
        </w:rPr>
        <w:t>。</w:t>
      </w:r>
    </w:p>
    <w:p w14:paraId="6DA05D2C">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（五）落地一批民生服务新体验场景</w:t>
      </w:r>
    </w:p>
    <w:p w14:paraId="1676C6B8">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以人工智能技术重塑民生服务，聚焦医疗、养老、教育、文旅、消费等高频生活领域，打造有温度、可感知的智慧生活新体验。</w:t>
      </w:r>
    </w:p>
    <w:p w14:paraId="38211F84">
      <w:pPr>
        <w:spacing w:line="560" w:lineRule="exact"/>
        <w:ind w:firstLine="643" w:firstLineChars="200"/>
        <w:jc w:val="both"/>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24.智慧医疗。（牵头单位：市卫健委）</w:t>
      </w:r>
    </w:p>
    <w:p w14:paraId="4105E6B5">
      <w:pPr>
        <w:spacing w:line="560" w:lineRule="exact"/>
        <w:ind w:firstLine="643" w:firstLineChars="200"/>
        <w:jc w:val="both"/>
        <w:outlineLvl w:val="2"/>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开发AI辅助诊疗场景。</w:t>
      </w:r>
      <w:r>
        <w:rPr>
          <w:rFonts w:ascii="Times New Roman" w:hAnsi="Times New Roman" w:eastAsia="仿宋_GB2312" w:cs="Times New Roman"/>
          <w:kern w:val="0"/>
          <w:sz w:val="32"/>
          <w:szCs w:val="32"/>
        </w:rPr>
        <w:t>在附一医、附二医等三甲医院及基层社区卫生服务中心开放AI辅助诊断、智能用药审核、AI全科医生、常见病智能问诊、慢病管理、体检报告解读等场景。到2028年，开放AI辅助诊疗场景10个。</w:t>
      </w:r>
      <w:r>
        <w:rPr>
          <w:rFonts w:ascii="Times New Roman" w:hAnsi="Times New Roman" w:eastAsia="仿宋_GB2312" w:cs="Times New Roman"/>
          <w:b/>
          <w:bCs/>
          <w:kern w:val="0"/>
          <w:sz w:val="32"/>
          <w:szCs w:val="32"/>
        </w:rPr>
        <w:t>开发医疗器械临床试验场景。</w:t>
      </w:r>
      <w:r>
        <w:rPr>
          <w:rFonts w:ascii="Times New Roman" w:hAnsi="Times New Roman" w:eastAsia="仿宋_GB2312" w:cs="Times New Roman"/>
          <w:kern w:val="0"/>
          <w:sz w:val="32"/>
          <w:szCs w:val="32"/>
        </w:rPr>
        <w:t>依托温州医科大学附属眼视光医院、附一医等临床资源，打造新型医疗设备沉浸体验中心，开发新型医疗器械试验场景需求，推动在温先行先试。到2028年，打造新型医疗设备沉浸体验中心1个。</w:t>
      </w:r>
      <w:r>
        <w:rPr>
          <w:rFonts w:ascii="Times New Roman" w:hAnsi="Times New Roman" w:eastAsia="仿宋_GB2312" w:cs="Times New Roman"/>
          <w:b/>
          <w:bCs/>
          <w:kern w:val="0"/>
          <w:sz w:val="32"/>
          <w:szCs w:val="32"/>
        </w:rPr>
        <w:t>开发医疗健康数据服务场景。</w:t>
      </w:r>
      <w:r>
        <w:rPr>
          <w:rFonts w:ascii="Times New Roman" w:hAnsi="Times New Roman" w:eastAsia="仿宋_GB2312" w:cs="Times New Roman"/>
          <w:kern w:val="0"/>
          <w:sz w:val="32"/>
          <w:szCs w:val="32"/>
        </w:rPr>
        <w:t>依托中国（温州）数安港，开放医疗健康可信数据空间、脱敏电子病历与医学影像等数据集建设场景。到2028年，开放重大疾病数据集5类以上。</w:t>
      </w:r>
      <w:r>
        <w:rPr>
          <w:rFonts w:ascii="Times New Roman" w:hAnsi="Times New Roman" w:eastAsia="楷体_GB2312" w:cs="Times New Roman"/>
          <w:kern w:val="0"/>
          <w:sz w:val="32"/>
          <w:szCs w:val="32"/>
        </w:rPr>
        <w:t>（配合单位：市市场监管局，温州医科大学）</w:t>
      </w:r>
    </w:p>
    <w:p w14:paraId="0B21ADD3">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25.智慧养老。（牵头单位：市民政局、市卫健委）</w:t>
      </w:r>
    </w:p>
    <w:p w14:paraId="5CCA8039">
      <w:pPr>
        <w:spacing w:line="560" w:lineRule="exact"/>
        <w:ind w:firstLine="643" w:firstLineChars="200"/>
        <w:jc w:val="both"/>
        <w:outlineLvl w:val="2"/>
        <w:rPr>
          <w:rFonts w:ascii="Times New Roman" w:hAnsi="Times New Roman" w:eastAsia="楷体_GB2312" w:cs="Times New Roman"/>
          <w:kern w:val="0"/>
          <w:sz w:val="32"/>
          <w:szCs w:val="32"/>
        </w:rPr>
      </w:pPr>
      <w:r>
        <w:rPr>
          <w:rFonts w:ascii="Times New Roman" w:hAnsi="Times New Roman" w:eastAsia="仿宋_GB2312" w:cs="Times New Roman"/>
          <w:b/>
          <w:bCs/>
          <w:kern w:val="0"/>
          <w:sz w:val="32"/>
          <w:szCs w:val="32"/>
        </w:rPr>
        <w:t>开发智慧养老照护场景。</w:t>
      </w:r>
      <w:r>
        <w:rPr>
          <w:rFonts w:ascii="Times New Roman" w:hAnsi="Times New Roman" w:eastAsia="仿宋_GB2312" w:cs="Times New Roman"/>
          <w:kern w:val="0"/>
          <w:sz w:val="32"/>
          <w:szCs w:val="32"/>
        </w:rPr>
        <w:t>针对老年人居家养老安全监测难、照护人手不足、健康管理缺失等痛点，在养老机构及居家养老场景中开放养老机器人、康复机器人、智能可穿戴设备等应用场景，推广智能看护、健康监测、风险预警、情感陪伴等场景。到2028年，开放智慧养老照护场景5个，智能体养老机构应用率超过35%。</w:t>
      </w:r>
      <w:r>
        <w:rPr>
          <w:rFonts w:ascii="Times New Roman" w:hAnsi="Times New Roman" w:eastAsia="仿宋_GB2312" w:cs="Times New Roman"/>
          <w:b/>
          <w:bCs/>
          <w:kern w:val="0"/>
          <w:sz w:val="32"/>
          <w:szCs w:val="32"/>
        </w:rPr>
        <w:t>开发远程医疗与健康服务场景。</w:t>
      </w:r>
      <w:r>
        <w:rPr>
          <w:rFonts w:ascii="Times New Roman" w:hAnsi="Times New Roman" w:eastAsia="仿宋_GB2312" w:cs="Times New Roman"/>
          <w:kern w:val="0"/>
          <w:sz w:val="32"/>
          <w:szCs w:val="32"/>
        </w:rPr>
        <w:t>针对老年人就医不便、慢病管理难等痛点，开放远程终端服务系统、在线家庭医生、远程诊疗等场景。到2028年，开放远程医疗与健康服务场景2个。</w:t>
      </w:r>
    </w:p>
    <w:p w14:paraId="0AC898E4">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26.智慧教育。（牵头单位：市教育局）</w:t>
      </w:r>
    </w:p>
    <w:p w14:paraId="0A02629A">
      <w:pPr>
        <w:spacing w:line="560" w:lineRule="exact"/>
        <w:ind w:firstLine="643" w:firstLineChars="200"/>
        <w:jc w:val="both"/>
        <w:rPr>
          <w:rFonts w:ascii="Times New Roman" w:hAnsi="Times New Roman" w:eastAsia="仿宋_GB2312" w:cs="Times New Roman"/>
          <w:bCs/>
          <w:kern w:val="0"/>
          <w:sz w:val="32"/>
          <w:szCs w:val="32"/>
        </w:rPr>
      </w:pPr>
      <w:r>
        <w:rPr>
          <w:rFonts w:hint="eastAsia" w:ascii="Times New Roman" w:hAnsi="Times New Roman" w:eastAsia="仿宋_GB2312" w:cs="Times New Roman"/>
          <w:b/>
          <w:kern w:val="0"/>
          <w:sz w:val="32"/>
          <w:szCs w:val="32"/>
        </w:rPr>
        <w:t>开发智慧校园与AI通识教育场景。</w:t>
      </w:r>
      <w:r>
        <w:rPr>
          <w:rFonts w:ascii="Times New Roman" w:hAnsi="Times New Roman" w:eastAsia="仿宋_GB2312" w:cs="Times New Roman"/>
          <w:bCs/>
          <w:kern w:val="0"/>
          <w:sz w:val="32"/>
          <w:szCs w:val="32"/>
        </w:rPr>
        <w:t>构建初阶、中阶、高阶三级课程体系，推进政府、研究机构和企业共建温州市人工智能教学平台，实现AI通识教育全覆盖。</w:t>
      </w:r>
      <w:r>
        <w:rPr>
          <w:rFonts w:hint="eastAsia" w:ascii="Times New Roman" w:hAnsi="Times New Roman" w:eastAsia="仿宋_GB2312" w:cs="Times New Roman"/>
          <w:b/>
          <w:kern w:val="0"/>
          <w:sz w:val="32"/>
          <w:szCs w:val="32"/>
        </w:rPr>
        <w:t>开发“AI+教育”创新应用场景。</w:t>
      </w:r>
      <w:r>
        <w:rPr>
          <w:rFonts w:ascii="Times New Roman" w:hAnsi="Times New Roman" w:eastAsia="仿宋_GB2312" w:cs="Times New Roman"/>
          <w:bCs/>
          <w:kern w:val="0"/>
          <w:sz w:val="32"/>
          <w:szCs w:val="32"/>
        </w:rPr>
        <w:t>加速培育“AI+教育”试点项目，重点培育教育治理、AI+身心健康、智能安防、智慧教研、智慧作业等核心场景，优先开展AI赋能学生个性化学习路径优化、教师循证教研模式落地、教育评价改革及师生素养提升等数字场景应用，形成一批可复制、可推广的典型优秀应用案例，同时积极探索成人中等学历教育线上学习和考试改革，拓展人工智能在终身学习领域的应用空间</w:t>
      </w:r>
      <w:r>
        <w:rPr>
          <w:rFonts w:hint="eastAsia"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到2028年，开放AI+教育场景不少于20个。</w:t>
      </w:r>
    </w:p>
    <w:p w14:paraId="3CCE41C3">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27.智慧文旅。（牵头单位：市文广旅局）</w:t>
      </w:r>
    </w:p>
    <w:p w14:paraId="288D3581">
      <w:pPr>
        <w:spacing w:line="560" w:lineRule="exact"/>
        <w:ind w:firstLine="643" w:firstLineChars="200"/>
        <w:jc w:val="both"/>
        <w:outlineLvl w:val="2"/>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打造文旅沉浸式体验场景。</w:t>
      </w:r>
      <w:r>
        <w:rPr>
          <w:rFonts w:ascii="Times New Roman" w:hAnsi="Times New Roman" w:eastAsia="仿宋_GB2312" w:cs="Times New Roman"/>
          <w:kern w:val="0"/>
          <w:sz w:val="32"/>
          <w:szCs w:val="32"/>
        </w:rPr>
        <w:t>在园博园、江心屿等热门景区，开发AI行程规划、虚拟导游、客流量预测、沉浸式实景演艺、全息投影光影秀等场景，推广寺前街“AI+AR”民俗体验模式，探索AR/AI解谜古村落场景。到2028年，打造文旅沉浸式体验场景10个，带动入境过夜游客数年均增长12%。</w:t>
      </w:r>
      <w:r>
        <w:rPr>
          <w:rFonts w:ascii="Times New Roman" w:hAnsi="Times New Roman" w:eastAsia="仿宋_GB2312" w:cs="Times New Roman"/>
          <w:b/>
          <w:bCs/>
          <w:kern w:val="0"/>
          <w:sz w:val="32"/>
          <w:szCs w:val="32"/>
        </w:rPr>
        <w:t>培育数字文创与智慧文旅场景。</w:t>
      </w:r>
      <w:r>
        <w:rPr>
          <w:rFonts w:ascii="Times New Roman" w:hAnsi="Times New Roman" w:eastAsia="仿宋_GB2312" w:cs="Times New Roman"/>
          <w:kern w:val="0"/>
          <w:sz w:val="32"/>
          <w:szCs w:val="32"/>
        </w:rPr>
        <w:t>支持浙南AI内容创作，依托瓯海映秀影视城和华东AIGC短剧产业园，打造AIGC梦工厂。开发培育AI漫剧创作。支持温州市新闻传媒中心申报国家广电总局网络剧（片）制作、播出服务许可证，争取开通网络剧平台备案自审权限，打造剧游温州特色的官方网络传播平台。到2028年，开放数字文创与智慧文旅场景10个。</w:t>
      </w:r>
      <w:r>
        <w:rPr>
          <w:rFonts w:ascii="Times New Roman" w:hAnsi="Times New Roman" w:eastAsia="仿宋_GB2312" w:cs="Times New Roman"/>
          <w:b/>
          <w:bCs/>
          <w:kern w:val="0"/>
          <w:sz w:val="32"/>
          <w:szCs w:val="32"/>
        </w:rPr>
        <w:t>开放本土赛事场景。</w:t>
      </w:r>
      <w:r>
        <w:rPr>
          <w:rFonts w:ascii="Times New Roman" w:hAnsi="Times New Roman" w:eastAsia="仿宋_GB2312" w:cs="Times New Roman"/>
          <w:kern w:val="0"/>
          <w:sz w:val="32"/>
          <w:szCs w:val="32"/>
        </w:rPr>
        <w:t>以“浙BA”“吴越杯”本土品牌赛事为抓手，深化“百姓运动码”功能迭代，完善赛事报名、票务核销、健身打卡等数字化服务。依托平台运动数据搭建精细化用户画像，精准匹配各类人群运动需求。</w:t>
      </w:r>
      <w:r>
        <w:rPr>
          <w:rFonts w:hint="eastAsia" w:ascii="Times New Roman" w:hAnsi="Times New Roman" w:eastAsia="仿宋_GB2312" w:cs="Times New Roman"/>
          <w:kern w:val="0"/>
          <w:sz w:val="32"/>
          <w:szCs w:val="32"/>
          <w:lang w:eastAsia="zh-CN"/>
        </w:rPr>
        <w:t>到</w:t>
      </w:r>
      <w:r>
        <w:rPr>
          <w:rFonts w:ascii="Times New Roman" w:hAnsi="Times New Roman" w:eastAsia="仿宋_GB2312" w:cs="Times New Roman"/>
          <w:kern w:val="0"/>
          <w:sz w:val="32"/>
          <w:szCs w:val="32"/>
        </w:rPr>
        <w:t>2028年</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开放本土赛事数字化应用场景2个。推动酒店板块AI赋能，开发人脸识别无感入住、智能客房控制、机器人送物等智慧酒店场景。</w:t>
      </w:r>
      <w:r>
        <w:rPr>
          <w:rFonts w:ascii="Times New Roman" w:hAnsi="Times New Roman" w:eastAsia="楷体_GB2312" w:cs="Times New Roman"/>
          <w:kern w:val="0"/>
          <w:sz w:val="32"/>
          <w:szCs w:val="32"/>
        </w:rPr>
        <w:t>（配合单位：市体育局）</w:t>
      </w:r>
    </w:p>
    <w:p w14:paraId="1BD558C3">
      <w:pPr>
        <w:spacing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28.新型消费。（牵头单位：市商务局）</w:t>
      </w:r>
    </w:p>
    <w:p w14:paraId="1F731453">
      <w:pPr>
        <w:pStyle w:val="3"/>
        <w:tabs>
          <w:tab w:val="left" w:pos="312"/>
        </w:tabs>
        <w:spacing w:after="0" w:line="560" w:lineRule="exact"/>
        <w:ind w:firstLine="643"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b/>
          <w:bCs/>
          <w:kern w:val="0"/>
          <w:sz w:val="32"/>
          <w:szCs w:val="32"/>
        </w:rPr>
        <w:t>开放智慧商圈场景</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深入推进“人工智能+消费”，打造沉浸式、互动式消费场景。</w:t>
      </w:r>
      <w:r>
        <w:rPr>
          <w:rFonts w:ascii="Times New Roman" w:hAnsi="Times New Roman" w:eastAsia="仿宋_GB2312" w:cs="Times New Roman"/>
          <w:kern w:val="0"/>
          <w:sz w:val="32"/>
          <w:szCs w:val="32"/>
        </w:rPr>
        <w:t>支持五马</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大南等核心商圈搭建集成化AI平台，实现客流、消费、交通、安防实时监测与智能调度</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部署智能导览、无感支付等终端，推广虚拟试衣、全息橱窗、体感互动等AI交互设备，打造沉浸式消费体验空间，打造温州“十大商圈”标志性消费场景。到2028年，争取创建全国示范步行街（商圈）1条（个）以上，创建省级示范跨界融合消费场景5个以上。</w:t>
      </w:r>
      <w:r>
        <w:rPr>
          <w:rFonts w:ascii="Times New Roman" w:hAnsi="Times New Roman" w:eastAsia="仿宋_GB2312" w:cs="Times New Roman"/>
          <w:b/>
          <w:bCs/>
          <w:kern w:val="0"/>
          <w:sz w:val="32"/>
          <w:szCs w:val="32"/>
        </w:rPr>
        <w:t>开放智慧市场场景。</w:t>
      </w:r>
      <w:r>
        <w:rPr>
          <w:rFonts w:ascii="Times New Roman" w:hAnsi="Times New Roman" w:eastAsia="仿宋_GB2312" w:cs="Times New Roman"/>
          <w:kern w:val="0"/>
          <w:sz w:val="32"/>
          <w:szCs w:val="32"/>
        </w:rPr>
        <w:t>鼓励市场构建数字运营平台，整合线上商城、智慧支付、供应链服务等功能，引导市场运用直播电商、社区团购等新模式拓宽销售渠道。到2028年，开放智慧市场场景16个以上。</w:t>
      </w:r>
      <w:r>
        <w:rPr>
          <w:rFonts w:ascii="Times New Roman" w:hAnsi="Times New Roman" w:eastAsia="仿宋_GB2312" w:cs="Times New Roman"/>
          <w:b/>
          <w:bCs/>
          <w:kern w:val="0"/>
          <w:sz w:val="32"/>
          <w:szCs w:val="32"/>
        </w:rPr>
        <w:t>开放数智直播基地场景。</w:t>
      </w:r>
      <w:r>
        <w:rPr>
          <w:rFonts w:hint="eastAsia" w:ascii="Times New Roman" w:hAnsi="Times New Roman" w:eastAsia="仿宋_GB2312" w:cs="Times New Roman"/>
          <w:kern w:val="0"/>
          <w:sz w:val="32"/>
          <w:szCs w:val="32"/>
        </w:rPr>
        <w:t>拓展数字消费渠道，支持实体商贸企业数字化营销，</w:t>
      </w:r>
      <w:r>
        <w:rPr>
          <w:rFonts w:ascii="Times New Roman" w:hAnsi="Times New Roman" w:eastAsia="仿宋_GB2312" w:cs="Times New Roman"/>
          <w:kern w:val="0"/>
          <w:sz w:val="32"/>
          <w:szCs w:val="32"/>
        </w:rPr>
        <w:t>应用虚拟数字人技术开展全天候直播，搭建AI智能选品平台，集成多语种翻译系统赋能跨境电商。到2028年，开放数智直播基地场景5个以上。</w:t>
      </w:r>
      <w:r>
        <w:rPr>
          <w:rFonts w:ascii="Times New Roman" w:hAnsi="Times New Roman" w:eastAsia="仿宋_GB2312" w:cs="Times New Roman"/>
          <w:b/>
          <w:bCs/>
          <w:kern w:val="0"/>
          <w:sz w:val="32"/>
          <w:szCs w:val="32"/>
        </w:rPr>
        <w:t>开放智慧便民生活圈场景。</w:t>
      </w:r>
      <w:r>
        <w:rPr>
          <w:rFonts w:ascii="Times New Roman" w:hAnsi="Times New Roman" w:eastAsia="仿宋_GB2312" w:cs="Times New Roman"/>
          <w:kern w:val="0"/>
          <w:sz w:val="32"/>
          <w:szCs w:val="32"/>
        </w:rPr>
        <w:t>在社区、商圈等载体布设智能货柜、智能预约终端等设施，打造“一刻钟”便民生活圈。到2028年，打造“一刻钟”便民生活圈200个以上。</w:t>
      </w:r>
      <w:r>
        <w:rPr>
          <w:rFonts w:ascii="Times New Roman" w:hAnsi="Times New Roman" w:eastAsia="楷体_GB2312" w:cs="Times New Roman"/>
          <w:kern w:val="0"/>
          <w:sz w:val="32"/>
          <w:szCs w:val="32"/>
        </w:rPr>
        <w:t>（配合单位：</w:t>
      </w:r>
      <w:r>
        <w:rPr>
          <w:rFonts w:hint="eastAsia" w:ascii="Times New Roman" w:hAnsi="Times New Roman" w:eastAsia="楷体_GB2312" w:cs="Times New Roman"/>
          <w:kern w:val="0"/>
          <w:sz w:val="32"/>
          <w:szCs w:val="32"/>
          <w:lang w:eastAsia="zh-CN"/>
        </w:rPr>
        <w:t>市发展改革委</w:t>
      </w:r>
      <w:r>
        <w:rPr>
          <w:rFonts w:ascii="Times New Roman" w:hAnsi="Times New Roman" w:eastAsia="楷体_GB2312" w:cs="Times New Roman"/>
          <w:kern w:val="0"/>
          <w:sz w:val="32"/>
          <w:szCs w:val="32"/>
        </w:rPr>
        <w:t>、市经信局、市文广旅局）</w:t>
      </w:r>
    </w:p>
    <w:p w14:paraId="400A8F73">
      <w:pPr>
        <w:spacing w:line="560" w:lineRule="exact"/>
        <w:ind w:firstLine="640" w:firstLineChars="200"/>
        <w:jc w:val="both"/>
        <w:outlineLvl w:val="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三、构建场景培育开放全链条工作机制</w:t>
      </w:r>
    </w:p>
    <w:p w14:paraId="7FC9A747">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（一）谋划凝练机制（牵头单位：各行业主管部门）</w:t>
      </w:r>
    </w:p>
    <w:p w14:paraId="4601EDB9">
      <w:pPr>
        <w:spacing w:line="560" w:lineRule="exact"/>
        <w:ind w:firstLine="640" w:firstLineChars="200"/>
        <w:jc w:val="both"/>
        <w:outlineLvl w:val="2"/>
        <w:rPr>
          <w:rFonts w:ascii="Times New Roman" w:hAnsi="Times New Roman" w:eastAsia="楷体_GB2312" w:cs="Times New Roman"/>
          <w:kern w:val="0"/>
          <w:sz w:val="32"/>
          <w:szCs w:val="32"/>
        </w:rPr>
      </w:pPr>
      <w:r>
        <w:rPr>
          <w:rFonts w:ascii="Times New Roman" w:hAnsi="Times New Roman" w:eastAsia="仿宋_GB2312" w:cs="Times New Roman"/>
          <w:bCs/>
          <w:kern w:val="0"/>
          <w:sz w:val="32"/>
          <w:szCs w:val="32"/>
        </w:rPr>
        <w:t>各行业主管部门、各县（市、区）政府、市属国企等围绕全市场景创新重点方向，结合本领域、本区域发展实际，</w:t>
      </w:r>
      <w:r>
        <w:rPr>
          <w:rFonts w:hint="eastAsia" w:ascii="Times New Roman" w:hAnsi="Times New Roman" w:eastAsia="仿宋_GB2312" w:cs="Times New Roman"/>
          <w:bCs/>
          <w:kern w:val="0"/>
          <w:sz w:val="32"/>
          <w:szCs w:val="32"/>
        </w:rPr>
        <w:t>制定本部门、本地区场景工作规划，积极对接国家、省级对口部门，力争将谋划的场景纳入上级规划或示范案例清单</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kern w:val="0"/>
          <w:sz w:val="32"/>
          <w:szCs w:val="32"/>
        </w:rPr>
        <w:t>建立</w:t>
      </w:r>
      <w:r>
        <w:rPr>
          <w:rFonts w:ascii="Times New Roman" w:hAnsi="Times New Roman" w:eastAsia="仿宋_GB2312" w:cs="Times New Roman"/>
          <w:bCs/>
          <w:kern w:val="0"/>
          <w:sz w:val="32"/>
          <w:szCs w:val="32"/>
        </w:rPr>
        <w:t>常态化场景机会挖掘与谋划</w:t>
      </w:r>
      <w:r>
        <w:rPr>
          <w:rFonts w:hint="eastAsia" w:ascii="Times New Roman" w:hAnsi="Times New Roman" w:eastAsia="仿宋_GB2312" w:cs="Times New Roman"/>
          <w:bCs/>
          <w:kern w:val="0"/>
          <w:sz w:val="32"/>
          <w:szCs w:val="32"/>
        </w:rPr>
        <w:t>机制</w:t>
      </w:r>
      <w:r>
        <w:rPr>
          <w:rFonts w:ascii="Times New Roman" w:hAnsi="Times New Roman" w:eastAsia="仿宋_GB2312" w:cs="Times New Roman"/>
          <w:bCs/>
          <w:kern w:val="0"/>
          <w:sz w:val="32"/>
          <w:szCs w:val="32"/>
        </w:rPr>
        <w:t>，</w:t>
      </w:r>
      <w:r>
        <w:rPr>
          <w:rFonts w:hint="eastAsia" w:ascii="Times New Roman" w:hAnsi="Times New Roman" w:eastAsia="仿宋_GB2312" w:cs="Times New Roman"/>
          <w:bCs/>
          <w:color w:val="000000" w:themeColor="text1"/>
          <w:kern w:val="0"/>
          <w:sz w:val="32"/>
          <w:szCs w:val="32"/>
          <w14:textFill>
            <w14:solidFill>
              <w14:schemeClr w14:val="tx1"/>
            </w14:solidFill>
          </w14:textFill>
        </w:rPr>
        <w:t>谋划组建专业化的场景公司、场景实验室等服务载体，组建龙头企业、行业协会、场景服务机构等共同参与的“场景挖掘联合体”，将模糊化、碎片化的行业需求挖掘整合为体系化、共性化的场景“标书”。</w:t>
      </w:r>
      <w:r>
        <w:rPr>
          <w:rFonts w:ascii="Times New Roman" w:hAnsi="Times New Roman" w:eastAsia="仿宋_GB2312" w:cs="Times New Roman"/>
          <w:bCs/>
          <w:kern w:val="0"/>
          <w:sz w:val="32"/>
          <w:szCs w:val="32"/>
        </w:rPr>
        <w:t>依据《温州市应用场景建设参考目录》，聚焦</w:t>
      </w:r>
      <w:r>
        <w:rPr>
          <w:rFonts w:hint="eastAsia" w:ascii="Times New Roman" w:hAnsi="Times New Roman" w:eastAsia="仿宋_GB2312" w:cs="Times New Roman"/>
          <w:bCs/>
          <w:kern w:val="0"/>
          <w:sz w:val="32"/>
          <w:szCs w:val="32"/>
        </w:rPr>
        <w:t>综合性重大场景、行业集成优先发展场景、地方特色应用基础场景等</w:t>
      </w:r>
      <w:r>
        <w:rPr>
          <w:rFonts w:ascii="Times New Roman" w:hAnsi="Times New Roman" w:eastAsia="仿宋_GB2312" w:cs="Times New Roman"/>
          <w:bCs/>
          <w:kern w:val="0"/>
          <w:sz w:val="32"/>
          <w:szCs w:val="32"/>
        </w:rPr>
        <w:t>，组织专家从技术可行性、商业模式、风险管控等维度进行凝练论证，形成场景机会清单，于每年年初报送市委教科人办汇总。市委教科人办会同市各产业链链办，面向链主企业、在温高校院所等，梳理形成本土场景能力清单。</w:t>
      </w:r>
    </w:p>
    <w:p w14:paraId="5569A8BC">
      <w:pPr>
        <w:widowControl w:val="0"/>
        <w:numPr>
          <w:ilvl w:val="0"/>
          <w:numId w:val="1"/>
        </w:num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联审协调机制（牵头单位：市委教科人办）</w:t>
      </w:r>
    </w:p>
    <w:p w14:paraId="6B9CD150">
      <w:pPr>
        <w:widowControl w:val="0"/>
        <w:numPr>
          <w:ilvl w:val="0"/>
          <w:numId w:val="0"/>
        </w:num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仿宋_GB2312" w:cs="Times New Roman"/>
          <w:bCs/>
          <w:kern w:val="0"/>
          <w:sz w:val="32"/>
          <w:szCs w:val="32"/>
        </w:rPr>
        <w:t>由市委教科人办牵头，建立场景项目联审协调机制，对涉及跨部门、跨领域的综合</w:t>
      </w:r>
      <w:r>
        <w:rPr>
          <w:rFonts w:hint="eastAsia" w:ascii="Times New Roman" w:hAnsi="Times New Roman" w:eastAsia="仿宋_GB2312" w:cs="Times New Roman"/>
          <w:bCs/>
          <w:kern w:val="0"/>
          <w:sz w:val="32"/>
          <w:szCs w:val="32"/>
        </w:rPr>
        <w:t>性</w:t>
      </w:r>
      <w:r>
        <w:rPr>
          <w:rFonts w:ascii="Times New Roman" w:hAnsi="Times New Roman" w:eastAsia="仿宋_GB2312" w:cs="Times New Roman"/>
          <w:bCs/>
          <w:kern w:val="0"/>
          <w:sz w:val="32"/>
          <w:szCs w:val="32"/>
        </w:rPr>
        <w:t>重大场景和优先发展场景，组织相关部门开展联合审查，协调解决场景谋划和落地过程中的堵点难点。对场景创新过程中涉及的重大事项，建立快速响应和分级协调通道，确保场景建设高效有序推进。</w:t>
      </w:r>
      <w:r>
        <w:rPr>
          <w:rFonts w:ascii="Times New Roman" w:hAnsi="Times New Roman" w:eastAsia="楷体_GB2312" w:cs="Times New Roman"/>
          <w:bCs/>
          <w:kern w:val="0"/>
          <w:sz w:val="32"/>
          <w:szCs w:val="32"/>
        </w:rPr>
        <w:t>（配合单位：各行业主管部门）</w:t>
      </w:r>
    </w:p>
    <w:p w14:paraId="6D6C06D7">
      <w:pPr>
        <w:widowControl w:val="0"/>
        <w:numPr>
          <w:ilvl w:val="0"/>
          <w:numId w:val="0"/>
        </w:num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（三）场景发布机制（牵头单位：市委教科人办、市投促局、市数据局</w:t>
      </w:r>
      <w:r>
        <w:rPr>
          <w:rFonts w:hint="eastAsia" w:ascii="Times New Roman" w:hAnsi="Times New Roman" w:eastAsia="楷体_GB2312" w:cs="Times New Roman"/>
          <w:bCs/>
          <w:kern w:val="0"/>
          <w:sz w:val="32"/>
          <w:szCs w:val="32"/>
          <w:lang w:eastAsia="zh-CN"/>
        </w:rPr>
        <w:t>〈</w:t>
      </w:r>
      <w:r>
        <w:rPr>
          <w:rFonts w:hint="eastAsia" w:ascii="Times New Roman" w:hAnsi="Times New Roman" w:eastAsia="楷体_GB2312" w:cs="Times New Roman"/>
          <w:bCs/>
          <w:kern w:val="0"/>
          <w:sz w:val="32"/>
          <w:szCs w:val="32"/>
        </w:rPr>
        <w:t>市</w:t>
      </w:r>
      <w:r>
        <w:rPr>
          <w:rFonts w:ascii="Times New Roman" w:hAnsi="Times New Roman" w:eastAsia="楷体_GB2312" w:cs="Times New Roman"/>
          <w:bCs/>
          <w:kern w:val="0"/>
          <w:sz w:val="32"/>
          <w:szCs w:val="32"/>
        </w:rPr>
        <w:t>人工智能局</w:t>
      </w:r>
      <w:r>
        <w:rPr>
          <w:rFonts w:hint="eastAsia" w:ascii="Times New Roman" w:hAnsi="Times New Roman" w:eastAsia="楷体_GB2312" w:cs="Times New Roman"/>
          <w:bCs/>
          <w:kern w:val="0"/>
          <w:sz w:val="32"/>
          <w:szCs w:val="32"/>
          <w:lang w:eastAsia="zh-CN"/>
        </w:rPr>
        <w:t>〉</w:t>
      </w:r>
      <w:r>
        <w:rPr>
          <w:rFonts w:ascii="Times New Roman" w:hAnsi="Times New Roman" w:eastAsia="楷体_GB2312" w:cs="Times New Roman"/>
          <w:bCs/>
          <w:kern w:val="0"/>
          <w:sz w:val="32"/>
          <w:szCs w:val="32"/>
        </w:rPr>
        <w:t>）</w:t>
      </w:r>
    </w:p>
    <w:p w14:paraId="04B729A3">
      <w:pPr>
        <w:spacing w:line="560" w:lineRule="exact"/>
        <w:ind w:firstLine="640" w:firstLineChars="200"/>
        <w:jc w:val="both"/>
        <w:outlineLvl w:val="2"/>
        <w:rPr>
          <w:rFonts w:ascii="Times New Roman" w:hAnsi="Times New Roman" w:eastAsia="楷体_GB2312" w:cs="Times New Roman"/>
          <w:kern w:val="0"/>
          <w:sz w:val="32"/>
          <w:szCs w:val="32"/>
        </w:rPr>
      </w:pPr>
      <w:r>
        <w:rPr>
          <w:rFonts w:ascii="Times New Roman" w:hAnsi="Times New Roman" w:eastAsia="仿宋_GB2312" w:cs="Times New Roman"/>
          <w:bCs/>
          <w:kern w:val="0"/>
          <w:sz w:val="32"/>
          <w:szCs w:val="32"/>
        </w:rPr>
        <w:t>建立“线下集中发布+线上实时发布”相结合的常态化场景发布机制。市委教科人办联合市投促局等相关部门组织全市性场景机会清单和场景能力清单的线下发布会，</w:t>
      </w:r>
      <w:r>
        <w:rPr>
          <w:rFonts w:hint="eastAsia" w:ascii="Times New Roman" w:hAnsi="Times New Roman" w:eastAsia="仿宋_GB2312" w:cs="Times New Roman"/>
          <w:bCs/>
          <w:kern w:val="0"/>
          <w:sz w:val="32"/>
          <w:szCs w:val="32"/>
        </w:rPr>
        <w:t>各行业主管部门</w:t>
      </w:r>
      <w:r>
        <w:rPr>
          <w:rFonts w:ascii="Times New Roman" w:hAnsi="Times New Roman" w:eastAsia="仿宋_GB2312" w:cs="Times New Roman"/>
          <w:bCs/>
          <w:kern w:val="0"/>
          <w:sz w:val="32"/>
          <w:szCs w:val="32"/>
        </w:rPr>
        <w:t>分别负责本领域场景的具体发布推介</w:t>
      </w:r>
      <w:r>
        <w:rPr>
          <w:rFonts w:hint="eastAsia" w:ascii="Times New Roman" w:hAnsi="Times New Roman" w:eastAsia="仿宋_GB2312" w:cs="Times New Roman"/>
          <w:bCs/>
          <w:kern w:val="0"/>
          <w:sz w:val="32"/>
          <w:szCs w:val="32"/>
        </w:rPr>
        <w:t>，常态化、分行业发布场景需求清单</w:t>
      </w:r>
      <w:r>
        <w:rPr>
          <w:rFonts w:ascii="Times New Roman" w:hAnsi="Times New Roman" w:eastAsia="仿宋_GB2312" w:cs="Times New Roman"/>
          <w:bCs/>
          <w:kern w:val="0"/>
          <w:sz w:val="32"/>
          <w:szCs w:val="32"/>
        </w:rPr>
        <w:t>。市数据局（市人工智能局）负责搭建全市统一的线上场景创新发布平台，线下场景发布会后当日即上线发布，实现场景资源“应发尽发、动态更新、全域共享”，面向全国推介温州场景机会，吸引优质创新资源来温对接落地。</w:t>
      </w:r>
      <w:r>
        <w:rPr>
          <w:rFonts w:ascii="Times New Roman" w:hAnsi="Times New Roman" w:eastAsia="楷体_GB2312" w:cs="Times New Roman"/>
          <w:bCs/>
          <w:kern w:val="0"/>
          <w:sz w:val="32"/>
          <w:szCs w:val="32"/>
        </w:rPr>
        <w:t>（配合单位：各行业主管部门）</w:t>
      </w:r>
    </w:p>
    <w:p w14:paraId="108890CF">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（四）对接撮合机制（牵头单位：各行业主管部门）</w:t>
      </w:r>
    </w:p>
    <w:p w14:paraId="741BFA04">
      <w:pPr>
        <w:spacing w:line="560" w:lineRule="exact"/>
        <w:ind w:firstLine="640" w:firstLineChars="200"/>
        <w:jc w:val="both"/>
        <w:outlineLvl w:val="2"/>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各行业主管部门分别负责本领域场景的供需对接撮合工作，</w:t>
      </w:r>
      <w:r>
        <w:rPr>
          <w:rFonts w:hint="eastAsia" w:ascii="Times New Roman" w:hAnsi="Times New Roman" w:eastAsia="仿宋_GB2312" w:cs="Times New Roman"/>
          <w:bCs/>
          <w:kern w:val="0"/>
          <w:sz w:val="32"/>
          <w:szCs w:val="32"/>
        </w:rPr>
        <w:t>定期</w:t>
      </w:r>
      <w:r>
        <w:rPr>
          <w:rFonts w:ascii="Times New Roman" w:hAnsi="Times New Roman" w:eastAsia="仿宋_GB2312" w:cs="Times New Roman"/>
          <w:bCs/>
          <w:kern w:val="0"/>
          <w:sz w:val="32"/>
          <w:szCs w:val="32"/>
        </w:rPr>
        <w:t>组织场景沙龙、供需见面会、项目路演、行业专题对接会、场景创新大赛等活动，推动场景供需精准匹配，</w:t>
      </w:r>
      <w:r>
        <w:rPr>
          <w:rFonts w:hint="eastAsia" w:ascii="Times New Roman" w:hAnsi="Times New Roman" w:eastAsia="仿宋_GB2312" w:cs="Times New Roman"/>
          <w:bCs/>
          <w:kern w:val="0"/>
          <w:sz w:val="32"/>
          <w:szCs w:val="32"/>
        </w:rPr>
        <w:t>每月至少组织一次有效对接活动。</w:t>
      </w:r>
      <w:r>
        <w:rPr>
          <w:rFonts w:ascii="Times New Roman" w:hAnsi="Times New Roman" w:eastAsia="仿宋_GB2312" w:cs="Times New Roman"/>
          <w:bCs/>
          <w:kern w:val="0"/>
          <w:sz w:val="32"/>
          <w:szCs w:val="32"/>
        </w:rPr>
        <w:t>建立“需求发起</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对接办理</w:t>
      </w:r>
      <w:r>
        <w:rPr>
          <w:rFonts w:hint="eastAsia" w:ascii="Times New Roman" w:hAnsi="Times New Roman" w:eastAsia="仿宋_GB2312" w:cs="Times New Roman"/>
          <w:bCs/>
          <w:kern w:val="0"/>
          <w:sz w:val="32"/>
          <w:szCs w:val="32"/>
        </w:rPr>
        <w:t>—</w:t>
      </w:r>
      <w:r>
        <w:rPr>
          <w:rFonts w:ascii="Times New Roman" w:hAnsi="Times New Roman" w:eastAsia="仿宋_GB2312" w:cs="Times New Roman"/>
          <w:bCs/>
          <w:kern w:val="0"/>
          <w:sz w:val="32"/>
          <w:szCs w:val="32"/>
        </w:rPr>
        <w:t>结果反馈”的服务闭环，对匹配形成的合作意向和落地项目实行全周期跟踪服务</w:t>
      </w:r>
      <w:r>
        <w:rPr>
          <w:rFonts w:ascii="Times New Roman" w:hAnsi="Times New Roman" w:eastAsia="仿宋_GB2312" w:cs="Times New Roman"/>
          <w:bCs/>
          <w:color w:val="000000" w:themeColor="text1"/>
          <w:kern w:val="0"/>
          <w:sz w:val="32"/>
          <w:szCs w:val="32"/>
          <w14:textFill>
            <w14:solidFill>
              <w14:schemeClr w14:val="tx1"/>
            </w14:solidFill>
          </w14:textFill>
        </w:rPr>
        <w:t>。</w:t>
      </w:r>
      <w:r>
        <w:rPr>
          <w:rFonts w:hint="eastAsia" w:ascii="Times New Roman" w:hAnsi="Times New Roman" w:eastAsia="仿宋_GB2312" w:cs="Times New Roman"/>
          <w:bCs/>
          <w:color w:val="000000" w:themeColor="text1"/>
          <w:kern w:val="0"/>
          <w:sz w:val="32"/>
          <w:szCs w:val="32"/>
          <w14:textFill>
            <w14:solidFill>
              <w14:schemeClr w14:val="tx1"/>
            </w14:solidFill>
          </w14:textFill>
        </w:rPr>
        <w:t>市投促局</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负责</w:t>
      </w:r>
      <w:r>
        <w:rPr>
          <w:rFonts w:hint="eastAsia" w:ascii="Times New Roman" w:hAnsi="Times New Roman" w:eastAsia="仿宋_GB2312" w:cs="Times New Roman"/>
          <w:bCs/>
          <w:color w:val="000000" w:themeColor="text1"/>
          <w:kern w:val="0"/>
          <w:sz w:val="32"/>
          <w:szCs w:val="32"/>
          <w14:textFill>
            <w14:solidFill>
              <w14:schemeClr w14:val="tx1"/>
            </w14:solidFill>
          </w14:textFill>
        </w:rPr>
        <w:t>将场景资源</w:t>
      </w:r>
      <w:r>
        <w:rPr>
          <w:rFonts w:hint="eastAsia" w:ascii="Times New Roman" w:hAnsi="Times New Roman" w:eastAsia="仿宋_GB2312" w:cs="Times New Roman"/>
          <w:bCs/>
          <w:color w:val="000000" w:themeColor="text1"/>
          <w:kern w:val="0"/>
          <w:sz w:val="32"/>
          <w:szCs w:val="32"/>
          <w:lang w:eastAsia="zh-CN"/>
          <w14:textFill>
            <w14:solidFill>
              <w14:schemeClr w14:val="tx1"/>
            </w14:solidFill>
          </w14:textFill>
        </w:rPr>
        <w:t>打造为</w:t>
      </w:r>
      <w:r>
        <w:rPr>
          <w:rFonts w:hint="eastAsia" w:ascii="Times New Roman" w:hAnsi="Times New Roman" w:eastAsia="仿宋_GB2312" w:cs="Times New Roman"/>
          <w:bCs/>
          <w:color w:val="000000" w:themeColor="text1"/>
          <w:kern w:val="0"/>
          <w:sz w:val="32"/>
          <w:szCs w:val="32"/>
          <w14:textFill>
            <w14:solidFill>
              <w14:schemeClr w14:val="tx1"/>
            </w14:solidFill>
          </w14:textFill>
        </w:rPr>
        <w:t>招商引资的“特色名片”，形成挖掘一个特色场景、引进一个AI服务商、催生一个新业态的良性循环。</w:t>
      </w:r>
      <w:r>
        <w:rPr>
          <w:rFonts w:ascii="Times New Roman" w:hAnsi="Times New Roman" w:eastAsia="仿宋_GB2312" w:cs="Times New Roman"/>
          <w:bCs/>
          <w:color w:val="000000" w:themeColor="text1"/>
          <w:kern w:val="0"/>
          <w:sz w:val="32"/>
          <w:szCs w:val="32"/>
          <w14:textFill>
            <w14:solidFill>
              <w14:schemeClr w14:val="tx1"/>
            </w14:solidFill>
          </w14:textFill>
        </w:rPr>
        <w:t>健全场景资源市场化配置规则，场景项目通过招投标、揭</w:t>
      </w:r>
      <w:r>
        <w:rPr>
          <w:rFonts w:ascii="Times New Roman" w:hAnsi="Times New Roman" w:eastAsia="仿宋_GB2312" w:cs="Times New Roman"/>
          <w:bCs/>
          <w:kern w:val="0"/>
          <w:sz w:val="32"/>
          <w:szCs w:val="32"/>
        </w:rPr>
        <w:t>榜挂帅、综合比选、信用承诺等方式推动实施，鼓励各类主体公平参与场景建设。</w:t>
      </w:r>
    </w:p>
    <w:p w14:paraId="1A8751C9">
      <w:pPr>
        <w:spacing w:line="560" w:lineRule="exact"/>
        <w:ind w:firstLine="640" w:firstLineChars="200"/>
        <w:jc w:val="both"/>
        <w:outlineLvl w:val="2"/>
        <w:rPr>
          <w:rFonts w:ascii="Times New Roman" w:hAnsi="Times New Roman" w:eastAsia="楷体_GB2312" w:cs="Times New Roman"/>
          <w:bCs/>
          <w:kern w:val="0"/>
          <w:sz w:val="32"/>
          <w:szCs w:val="32"/>
        </w:rPr>
      </w:pPr>
      <w:r>
        <w:rPr>
          <w:rFonts w:ascii="Times New Roman" w:hAnsi="Times New Roman" w:eastAsia="楷体_GB2312" w:cs="Times New Roman"/>
          <w:bCs/>
          <w:kern w:val="0"/>
          <w:sz w:val="32"/>
          <w:szCs w:val="32"/>
        </w:rPr>
        <w:t>（五）首购首用协调机制（牵头单位：市委教科人办）</w:t>
      </w:r>
    </w:p>
    <w:p w14:paraId="58A834C4">
      <w:pPr>
        <w:spacing w:line="560" w:lineRule="exact"/>
        <w:ind w:firstLine="640" w:firstLineChars="200"/>
        <w:jc w:val="both"/>
        <w:outlineLvl w:val="2"/>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由市委教科人办牵头，建立新技术新产品首购首用协调机制。建立跨部门协调会商制度，定期召集</w:t>
      </w:r>
      <w:r>
        <w:rPr>
          <w:rFonts w:ascii="Times New Roman" w:hAnsi="Times New Roman" w:eastAsia="仿宋_GB2312" w:cs="Times New Roman"/>
          <w:kern w:val="0"/>
          <w:sz w:val="32"/>
          <w:szCs w:val="32"/>
        </w:rPr>
        <w:t>市发展改革委、市经信局、</w:t>
      </w:r>
      <w:r>
        <w:rPr>
          <w:rFonts w:hint="eastAsia" w:ascii="Times New Roman" w:hAnsi="Times New Roman" w:eastAsia="仿宋_GB2312" w:cs="Times New Roman"/>
          <w:kern w:val="0"/>
          <w:sz w:val="32"/>
          <w:szCs w:val="32"/>
        </w:rPr>
        <w:t>市</w:t>
      </w:r>
      <w:r>
        <w:rPr>
          <w:rFonts w:ascii="Times New Roman" w:hAnsi="Times New Roman" w:eastAsia="仿宋_GB2312" w:cs="Times New Roman"/>
          <w:bCs/>
          <w:kern w:val="0"/>
          <w:sz w:val="32"/>
          <w:szCs w:val="32"/>
        </w:rPr>
        <w:t>国资委</w:t>
      </w:r>
      <w:r>
        <w:rPr>
          <w:rFonts w:hint="eastAsia" w:ascii="Times New Roman" w:hAnsi="Times New Roman" w:eastAsia="仿宋_GB2312" w:cs="Times New Roman"/>
          <w:bCs/>
          <w:kern w:val="0"/>
          <w:sz w:val="32"/>
          <w:szCs w:val="32"/>
        </w:rPr>
        <w:t>、</w:t>
      </w:r>
      <w:r>
        <w:rPr>
          <w:rFonts w:ascii="Times New Roman" w:hAnsi="Times New Roman" w:eastAsia="仿宋_GB2312" w:cs="Times New Roman"/>
          <w:kern w:val="0"/>
          <w:sz w:val="32"/>
          <w:szCs w:val="32"/>
        </w:rPr>
        <w:t>市数据局</w:t>
      </w:r>
      <w:r>
        <w:rPr>
          <w:rFonts w:hint="eastAsia" w:ascii="Times New Roman" w:hAnsi="Times New Roman" w:eastAsia="仿宋_GB2312" w:cs="Times New Roman"/>
          <w:kern w:val="0"/>
          <w:sz w:val="32"/>
          <w:szCs w:val="32"/>
        </w:rPr>
        <w:t>（市人工智能局）、市投促局</w:t>
      </w:r>
      <w:r>
        <w:rPr>
          <w:rFonts w:ascii="Times New Roman" w:hAnsi="Times New Roman" w:eastAsia="仿宋_GB2312" w:cs="Times New Roman"/>
          <w:bCs/>
          <w:kern w:val="0"/>
          <w:sz w:val="32"/>
          <w:szCs w:val="32"/>
        </w:rPr>
        <w:t>等部门，研究协调首购首用推进中的跨部门、跨领域问题。</w:t>
      </w:r>
      <w:r>
        <w:rPr>
          <w:rFonts w:hint="eastAsia" w:ascii="Times New Roman" w:hAnsi="Times New Roman" w:eastAsia="仿宋_GB2312" w:cs="Times New Roman"/>
          <w:bCs/>
          <w:kern w:val="0"/>
          <w:sz w:val="32"/>
          <w:szCs w:val="32"/>
        </w:rPr>
        <w:t>市各产业链链办牵头强化供需两端精准衔接</w:t>
      </w:r>
      <w:r>
        <w:rPr>
          <w:rFonts w:ascii="Times New Roman" w:hAnsi="Times New Roman" w:eastAsia="仿宋_GB2312" w:cs="Times New Roman"/>
          <w:bCs/>
          <w:kern w:val="0"/>
          <w:sz w:val="32"/>
          <w:szCs w:val="32"/>
        </w:rPr>
        <w:t>，组织潜在用户单位赴场景能力企业开展实地考察和试用体验，加速供需双方从“相识”到“相融”。建立“首购首用”风险补偿机制，协调保险机构开发专属险种，分担用户单位首次采用风险。</w:t>
      </w:r>
      <w:r>
        <w:rPr>
          <w:rFonts w:ascii="Times New Roman" w:hAnsi="Times New Roman" w:eastAsia="楷体_GB2312" w:cs="Times New Roman"/>
          <w:bCs/>
          <w:kern w:val="0"/>
          <w:sz w:val="32"/>
          <w:szCs w:val="32"/>
        </w:rPr>
        <w:t>（配合单位：市府办〈金融〉、市财政局、人行温州市分行</w:t>
      </w:r>
      <w:r>
        <w:rPr>
          <w:rFonts w:hint="eastAsia" w:ascii="Times New Roman" w:hAnsi="Times New Roman" w:eastAsia="楷体_GB2312" w:cs="Times New Roman"/>
          <w:bCs/>
          <w:kern w:val="0"/>
          <w:sz w:val="32"/>
          <w:szCs w:val="32"/>
          <w:lang w:eastAsia="zh-CN"/>
        </w:rPr>
        <w:t>，</w:t>
      </w:r>
      <w:r>
        <w:rPr>
          <w:rFonts w:ascii="Times New Roman" w:hAnsi="Times New Roman" w:eastAsia="楷体_GB2312" w:cs="Times New Roman"/>
          <w:bCs/>
          <w:kern w:val="0"/>
          <w:sz w:val="32"/>
          <w:szCs w:val="32"/>
        </w:rPr>
        <w:t>各行业主管部门）</w:t>
      </w:r>
    </w:p>
    <w:p w14:paraId="60A97C1B">
      <w:pPr>
        <w:spacing w:line="560" w:lineRule="exact"/>
        <w:ind w:firstLine="596" w:firstLineChars="200"/>
        <w:jc w:val="both"/>
        <w:outlineLvl w:val="2"/>
        <w:rPr>
          <w:rFonts w:ascii="Times New Roman" w:hAnsi="Times New Roman" w:eastAsia="楷体_GB2312" w:cs="Times New Roman"/>
          <w:bCs/>
          <w:spacing w:val="-11"/>
          <w:kern w:val="0"/>
          <w:sz w:val="32"/>
          <w:szCs w:val="32"/>
        </w:rPr>
      </w:pPr>
      <w:r>
        <w:rPr>
          <w:rFonts w:ascii="Times New Roman" w:hAnsi="Times New Roman" w:eastAsia="楷体_GB2312" w:cs="Times New Roman"/>
          <w:bCs/>
          <w:spacing w:val="-11"/>
          <w:kern w:val="0"/>
          <w:sz w:val="32"/>
          <w:szCs w:val="32"/>
        </w:rPr>
        <w:t>（六）考核评价与容错机制（牵头单位：市委教科人办）</w:t>
      </w:r>
    </w:p>
    <w:p w14:paraId="0C8C896B">
      <w:pPr>
        <w:spacing w:line="560" w:lineRule="exact"/>
        <w:ind w:firstLine="640" w:firstLineChars="200"/>
        <w:jc w:val="both"/>
        <w:outlineLvl w:val="2"/>
        <w:rPr>
          <w:rFonts w:ascii="Times New Roman" w:hAnsi="Times New Roman" w:eastAsia="仿宋_GB2312" w:cs="Times New Roman"/>
          <w:b/>
          <w:bCs/>
          <w:kern w:val="0"/>
          <w:sz w:val="32"/>
          <w:szCs w:val="32"/>
        </w:rPr>
      </w:pPr>
      <w:r>
        <w:rPr>
          <w:rFonts w:ascii="Times New Roman" w:hAnsi="Times New Roman" w:eastAsia="仿宋_GB2312" w:cs="Times New Roman"/>
          <w:bCs/>
          <w:kern w:val="0"/>
          <w:sz w:val="32"/>
          <w:szCs w:val="32"/>
        </w:rPr>
        <w:t>由市委教科人办牵头，建立场景工作考核评价体系。将各</w:t>
      </w:r>
      <w:r>
        <w:rPr>
          <w:rFonts w:hint="eastAsia" w:ascii="Times New Roman" w:hAnsi="Times New Roman" w:eastAsia="仿宋_GB2312" w:cs="Times New Roman"/>
          <w:bCs/>
          <w:kern w:val="0"/>
          <w:sz w:val="32"/>
          <w:szCs w:val="32"/>
          <w:lang w:eastAsia="zh-CN"/>
        </w:rPr>
        <w:t>行业主管部门</w:t>
      </w:r>
      <w:r>
        <w:rPr>
          <w:rFonts w:ascii="Times New Roman" w:hAnsi="Times New Roman" w:eastAsia="仿宋_GB2312" w:cs="Times New Roman"/>
          <w:bCs/>
          <w:kern w:val="0"/>
          <w:sz w:val="32"/>
          <w:szCs w:val="32"/>
        </w:rPr>
        <w:t>对本领域场景的谋划凝练、撮合对接、交流比拼等情况纳入年度综合考核。每季度对各行业部门、县（市、区）、市属国企的场景开放数量、对接活动次数、签约项目数、标杆场景数等进行晾晒，营造比学赶超氛围。对建设成效显著、企业获得感强的项目予以优先支持并持续开放</w:t>
      </w:r>
      <w:r>
        <w:rPr>
          <w:rFonts w:hint="eastAsia" w:ascii="Times New Roman" w:hAnsi="Times New Roman" w:eastAsia="仿宋_GB2312" w:cs="Times New Roman"/>
          <w:bCs/>
          <w:kern w:val="0"/>
          <w:sz w:val="32"/>
          <w:szCs w:val="32"/>
          <w:lang w:eastAsia="zh-CN"/>
        </w:rPr>
        <w:t>。</w:t>
      </w:r>
      <w:r>
        <w:rPr>
          <w:rFonts w:ascii="Times New Roman" w:hAnsi="Times New Roman" w:eastAsia="仿宋_GB2312" w:cs="Times New Roman"/>
          <w:bCs/>
          <w:kern w:val="0"/>
          <w:sz w:val="32"/>
          <w:szCs w:val="32"/>
        </w:rPr>
        <w:t>对实施不力的项目及时调整或终止。探索建立场景创新容错免责机制，对在场景创新过程中因先行先试出现失误和偏差的，符合相关规定情形的，可予以免责或从轻、减轻处理，鼓励各部门、各单位大胆探索、敢于创新。</w:t>
      </w:r>
    </w:p>
    <w:p w14:paraId="09E5B9A8">
      <w:pPr>
        <w:spacing w:line="560" w:lineRule="exact"/>
        <w:ind w:firstLine="640" w:firstLineChars="200"/>
        <w:jc w:val="both"/>
        <w:outlineLvl w:val="1"/>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四、组织保障</w:t>
      </w:r>
    </w:p>
    <w:p w14:paraId="31FB0FCD">
      <w:pPr>
        <w:spacing w:line="560" w:lineRule="exact"/>
        <w:ind w:firstLine="572" w:firstLineChars="200"/>
        <w:jc w:val="both"/>
        <w:outlineLvl w:val="2"/>
        <w:rPr>
          <w:rFonts w:ascii="Times New Roman" w:hAnsi="Times New Roman" w:eastAsia="楷体_GB2312" w:cs="Times New Roman"/>
          <w:bCs/>
          <w:spacing w:val="-17"/>
          <w:kern w:val="0"/>
          <w:sz w:val="32"/>
          <w:szCs w:val="32"/>
        </w:rPr>
      </w:pPr>
      <w:r>
        <w:rPr>
          <w:rFonts w:ascii="Times New Roman" w:hAnsi="Times New Roman" w:eastAsia="楷体_GB2312" w:cs="Times New Roman"/>
          <w:bCs/>
          <w:spacing w:val="-17"/>
          <w:kern w:val="0"/>
          <w:sz w:val="32"/>
          <w:szCs w:val="32"/>
        </w:rPr>
        <w:t>（一）构建“大场景”工作格局（牵头单位：市委教科人办）</w:t>
      </w:r>
    </w:p>
    <w:p w14:paraId="5FB0025A">
      <w:pPr>
        <w:spacing w:line="560" w:lineRule="exact"/>
        <w:ind w:firstLine="640" w:firstLineChars="200"/>
        <w:jc w:val="both"/>
        <w:rPr>
          <w:rFonts w:ascii="Times New Roman" w:hAnsi="Times New Roman" w:eastAsia="楷体_GB2312" w:cs="Times New Roman"/>
          <w:bCs/>
          <w:kern w:val="0"/>
          <w:sz w:val="32"/>
          <w:szCs w:val="32"/>
        </w:rPr>
      </w:pPr>
      <w:r>
        <w:rPr>
          <w:rFonts w:ascii="Times New Roman" w:hAnsi="Times New Roman" w:eastAsia="仿宋_GB2312" w:cs="Times New Roman"/>
          <w:kern w:val="0"/>
          <w:sz w:val="32"/>
          <w:szCs w:val="32"/>
        </w:rPr>
        <w:t>建立分管副市长每月调度、市委教科人办每半月督办的推进机制，各级各部门主要负责人牵头挂帅，推动本区域、本领域场景创新工作落实。在市委教科人办</w:t>
      </w:r>
      <w:r>
        <w:rPr>
          <w:rFonts w:hint="eastAsia" w:ascii="Times New Roman" w:hAnsi="Times New Roman" w:eastAsia="仿宋_GB2312" w:cs="Times New Roman"/>
          <w:kern w:val="0"/>
          <w:sz w:val="32"/>
          <w:szCs w:val="32"/>
          <w:lang w:eastAsia="zh-CN"/>
        </w:rPr>
        <w:t>下</w:t>
      </w:r>
      <w:r>
        <w:rPr>
          <w:rFonts w:ascii="Times New Roman" w:hAnsi="Times New Roman" w:eastAsia="仿宋_GB2312" w:cs="Times New Roman"/>
          <w:kern w:val="0"/>
          <w:sz w:val="32"/>
          <w:szCs w:val="32"/>
        </w:rPr>
        <w:t>增设“场景创新组”，常务成员由市发展改革委、市经信局、市科技局、市国资委、市数据局</w:t>
      </w:r>
      <w:r>
        <w:rPr>
          <w:rFonts w:hint="eastAsia" w:ascii="Times New Roman" w:hAnsi="Times New Roman" w:eastAsia="仿宋_GB2312" w:cs="Times New Roman"/>
          <w:kern w:val="0"/>
          <w:sz w:val="32"/>
          <w:szCs w:val="32"/>
        </w:rPr>
        <w:t>（市人工智能局）、市投促局组成，</w:t>
      </w:r>
      <w:r>
        <w:rPr>
          <w:rFonts w:ascii="Times New Roman" w:hAnsi="Times New Roman" w:eastAsia="仿宋_GB2312" w:cs="Times New Roman"/>
          <w:kern w:val="0"/>
          <w:sz w:val="32"/>
          <w:szCs w:val="32"/>
        </w:rPr>
        <w:t>组建实体化工作专班，抽调骨干集中办公。各相关市直部门及市属国企须明确分管领导及场景工作牵头处室，设立“场景创新工作专班”或新增场景创新工作职能，并指定一名“场景联络员”，每年年初报送本行业场景开放计划，定期报送推进情况。发改、经信、教育、住建、交通、商务、文广旅、卫健、国资委、数据等部门每年发布场景需求不少于</w:t>
      </w:r>
      <w:r>
        <w:rPr>
          <w:rFonts w:hint="eastAsia" w:ascii="Times New Roman" w:hAnsi="Times New Roman" w:eastAsia="仿宋_GB2312" w:cs="Times New Roman"/>
          <w:kern w:val="0"/>
          <w:sz w:val="32"/>
          <w:szCs w:val="32"/>
        </w:rPr>
        <w:t>30</w:t>
      </w:r>
      <w:r>
        <w:rPr>
          <w:rFonts w:ascii="Times New Roman" w:hAnsi="Times New Roman" w:eastAsia="仿宋_GB2312" w:cs="Times New Roman"/>
          <w:kern w:val="0"/>
          <w:sz w:val="32"/>
          <w:szCs w:val="32"/>
        </w:rPr>
        <w:t>个，其余部门不少于</w:t>
      </w:r>
      <w:r>
        <w:rPr>
          <w:rFonts w:hint="eastAsia" w:ascii="Times New Roman" w:hAnsi="Times New Roman" w:eastAsia="仿宋_GB2312" w:cs="Times New Roman"/>
          <w:kern w:val="0"/>
          <w:sz w:val="32"/>
          <w:szCs w:val="32"/>
        </w:rPr>
        <w:t>20</w:t>
      </w:r>
      <w:r>
        <w:rPr>
          <w:rFonts w:ascii="Times New Roman" w:hAnsi="Times New Roman" w:eastAsia="仿宋_GB2312" w:cs="Times New Roman"/>
          <w:kern w:val="0"/>
          <w:sz w:val="32"/>
          <w:szCs w:val="32"/>
        </w:rPr>
        <w:t>个。各县（市、区）要参照建立场景工作推进机制，每年至少打造</w:t>
      </w:r>
      <w:r>
        <w:rPr>
          <w:rFonts w:hint="eastAsia" w:ascii="Times New Roman" w:hAnsi="Times New Roman" w:eastAsia="仿宋_GB2312" w:cs="Times New Roman"/>
          <w:kern w:val="0"/>
          <w:sz w:val="32"/>
          <w:szCs w:val="32"/>
        </w:rPr>
        <w:t>20</w:t>
      </w:r>
      <w:r>
        <w:rPr>
          <w:rFonts w:ascii="Times New Roman" w:hAnsi="Times New Roman" w:eastAsia="仿宋_GB2312" w:cs="Times New Roman"/>
          <w:kern w:val="0"/>
          <w:sz w:val="32"/>
          <w:szCs w:val="32"/>
        </w:rPr>
        <w:t>个具有地方特色应用场景，并于每月底将本地场景清单及对接成效报市委教科人办。</w:t>
      </w:r>
      <w:r>
        <w:rPr>
          <w:rFonts w:ascii="Times New Roman" w:hAnsi="Times New Roman" w:eastAsia="楷体_GB2312" w:cs="Times New Roman"/>
          <w:bCs/>
          <w:kern w:val="0"/>
          <w:sz w:val="32"/>
          <w:szCs w:val="32"/>
        </w:rPr>
        <w:t>（配合单位：市委组织部、市委编办，各行业主管部门、市属国企，各县〈市、区〉政府）</w:t>
      </w:r>
    </w:p>
    <w:p w14:paraId="7C17CDDD">
      <w:pPr>
        <w:spacing w:line="560" w:lineRule="exact"/>
        <w:ind w:firstLine="572" w:firstLineChars="200"/>
        <w:jc w:val="both"/>
        <w:outlineLvl w:val="2"/>
        <w:rPr>
          <w:rFonts w:ascii="Times New Roman" w:hAnsi="Times New Roman" w:eastAsia="楷体_GB2312" w:cs="Times New Roman"/>
          <w:bCs/>
          <w:spacing w:val="-17"/>
          <w:kern w:val="0"/>
          <w:sz w:val="32"/>
          <w:szCs w:val="32"/>
        </w:rPr>
      </w:pPr>
      <w:r>
        <w:rPr>
          <w:rFonts w:ascii="Times New Roman" w:hAnsi="Times New Roman" w:eastAsia="楷体_GB2312" w:cs="Times New Roman"/>
          <w:bCs/>
          <w:spacing w:val="-17"/>
          <w:kern w:val="0"/>
          <w:sz w:val="32"/>
          <w:szCs w:val="32"/>
        </w:rPr>
        <w:t>（二）加强重大场景能力保障（牵头单位：市委教科人办）</w:t>
      </w:r>
    </w:p>
    <w:p w14:paraId="4FAE44EC">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建立重大技术创新成果发现与场景能力储备机制。密切跟踪在温高校、科研院所、新型研发机构和链主企业的重大科技攻关进展，建立重大技术成果发现、跟踪、评估、储备</w:t>
      </w:r>
      <w:r>
        <w:rPr>
          <w:rFonts w:hint="eastAsia" w:ascii="Times New Roman" w:hAnsi="Times New Roman" w:eastAsia="仿宋_GB2312" w:cs="Times New Roman"/>
          <w:kern w:val="0"/>
          <w:sz w:val="32"/>
          <w:szCs w:val="32"/>
        </w:rPr>
        <w:t>、推介</w:t>
      </w:r>
      <w:r>
        <w:rPr>
          <w:rFonts w:ascii="Times New Roman" w:hAnsi="Times New Roman" w:eastAsia="仿宋_GB2312" w:cs="Times New Roman"/>
          <w:kern w:val="0"/>
          <w:sz w:val="32"/>
          <w:szCs w:val="32"/>
        </w:rPr>
        <w:t>工作机制，定期梳理具有场景转化潜力的重大创新成果，形成《重大场景能力储备清单》，为场景供给提供高质量技术成果来源。（</w:t>
      </w:r>
      <w:r>
        <w:rPr>
          <w:rFonts w:ascii="Times New Roman" w:hAnsi="Times New Roman" w:eastAsia="楷体_GB2312" w:cs="Times New Roman"/>
          <w:bCs/>
          <w:kern w:val="0"/>
          <w:sz w:val="32"/>
          <w:szCs w:val="32"/>
        </w:rPr>
        <w:t>配合单位：各行业主管部门）</w:t>
      </w:r>
    </w:p>
    <w:p w14:paraId="0F617E2C">
      <w:pPr>
        <w:spacing w:line="560" w:lineRule="exact"/>
        <w:ind w:firstLine="572" w:firstLineChars="200"/>
        <w:jc w:val="both"/>
        <w:outlineLvl w:val="2"/>
        <w:rPr>
          <w:rFonts w:ascii="Times New Roman" w:hAnsi="Times New Roman" w:eastAsia="楷体_GB2312" w:cs="Times New Roman"/>
          <w:bCs/>
          <w:spacing w:val="-17"/>
          <w:kern w:val="0"/>
          <w:sz w:val="32"/>
          <w:szCs w:val="32"/>
        </w:rPr>
      </w:pPr>
      <w:r>
        <w:rPr>
          <w:rFonts w:ascii="Times New Roman" w:hAnsi="Times New Roman" w:eastAsia="楷体_GB2312" w:cs="Times New Roman"/>
          <w:bCs/>
          <w:spacing w:val="-17"/>
          <w:kern w:val="0"/>
          <w:sz w:val="32"/>
          <w:szCs w:val="32"/>
        </w:rPr>
        <w:t>（三）强化场景创新制度改革（牵头单位：市委教科人办）</w:t>
      </w:r>
    </w:p>
    <w:p w14:paraId="634A91D2">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深化场景资源配置制度改革，探索建立市场准入与场景开放协同联动机制，对新业态新领域实行包容审慎监管。深化科技创新体制改革，将场景应用成效纳入科技项目评价体系。在数安港、智能谷等重点平台探索场景创新沙盒机制，允许在可控范围内开展政策先行先试。深化场景审批制度改革，对纳入市级场景清单的重点项目实行“绿色通道”审批，最大限度降低制度性交易成本。</w:t>
      </w:r>
      <w:r>
        <w:rPr>
          <w:rFonts w:ascii="Times New Roman" w:hAnsi="Times New Roman" w:eastAsia="楷体_GB2312" w:cs="Times New Roman"/>
          <w:bCs/>
          <w:kern w:val="0"/>
          <w:sz w:val="32"/>
          <w:szCs w:val="32"/>
        </w:rPr>
        <w:t>（配合单位：各行业主管部门）</w:t>
      </w:r>
    </w:p>
    <w:p w14:paraId="465F67A4">
      <w:pPr>
        <w:spacing w:line="560" w:lineRule="exact"/>
        <w:ind w:firstLine="572" w:firstLineChars="200"/>
        <w:jc w:val="both"/>
        <w:outlineLvl w:val="2"/>
        <w:rPr>
          <w:rFonts w:ascii="Times New Roman" w:hAnsi="Times New Roman" w:eastAsia="楷体_GB2312" w:cs="Times New Roman"/>
          <w:bCs/>
          <w:spacing w:val="-17"/>
          <w:kern w:val="0"/>
          <w:sz w:val="32"/>
          <w:szCs w:val="32"/>
        </w:rPr>
      </w:pPr>
      <w:r>
        <w:rPr>
          <w:rFonts w:ascii="Times New Roman" w:hAnsi="Times New Roman" w:eastAsia="楷体_GB2312" w:cs="Times New Roman"/>
          <w:bCs/>
          <w:spacing w:val="-17"/>
          <w:kern w:val="0"/>
          <w:sz w:val="32"/>
          <w:szCs w:val="32"/>
        </w:rPr>
        <w:t>（四）打造“瓯遇未来”场景品牌（牵头单位：市委宣传部）</w:t>
      </w:r>
    </w:p>
    <w:p w14:paraId="08F69133">
      <w:pPr>
        <w:spacing w:line="560" w:lineRule="exact"/>
        <w:ind w:firstLine="640" w:firstLineChars="200"/>
        <w:jc w:val="both"/>
        <w:rPr>
          <w:rFonts w:ascii="Times New Roman" w:hAnsi="Times New Roman" w:eastAsia="方正小标宋简体" w:cs="Times New Roman"/>
          <w:color w:val="000000"/>
          <w:kern w:val="0"/>
          <w:sz w:val="32"/>
          <w:szCs w:val="32"/>
          <w:lang w:bidi="ar"/>
        </w:rPr>
      </w:pPr>
      <w:r>
        <w:rPr>
          <w:rFonts w:ascii="Times New Roman" w:hAnsi="Times New Roman" w:eastAsia="仿宋_GB2312" w:cs="Times New Roman"/>
          <w:kern w:val="0"/>
          <w:sz w:val="32"/>
          <w:szCs w:val="32"/>
        </w:rPr>
        <w:t>各县（市、区）要围绕新技术新产品，常态化组织开展推广对接会</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全市各级各部门要依托各类载体，策划场景专题对接、示范案例推介等系列活动，形成“周周有对接、月月有活动、季季见成效”的推进格局。整合温州发布、温州日报、温度新闻等官方媒体资源，开辟“</w:t>
      </w:r>
      <w:r>
        <w:rPr>
          <w:rFonts w:hint="eastAsia" w:ascii="Times New Roman" w:hAnsi="Times New Roman" w:eastAsia="仿宋_GB2312" w:cs="Times New Roman"/>
          <w:kern w:val="0"/>
          <w:sz w:val="32"/>
          <w:szCs w:val="32"/>
        </w:rPr>
        <w:t>温州</w:t>
      </w:r>
      <w:r>
        <w:rPr>
          <w:rFonts w:ascii="Times New Roman" w:hAnsi="Times New Roman" w:eastAsia="仿宋_GB2312" w:cs="Times New Roman"/>
          <w:kern w:val="0"/>
          <w:sz w:val="32"/>
          <w:szCs w:val="32"/>
        </w:rPr>
        <w:t>场景”专栏，每月推送优秀案例</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用好短视频、网红打卡等新媒体传播手段，每季度制作推广一批场景创新短视频</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更大范围做好场景政策解读和典型案例推广，让场景成为温州产业升级的加速器、项目落地的催化剂。</w:t>
      </w:r>
      <w:r>
        <w:rPr>
          <w:rFonts w:ascii="Times New Roman" w:hAnsi="Times New Roman" w:eastAsia="楷体_GB2312" w:cs="Times New Roman"/>
          <w:bCs/>
          <w:kern w:val="0"/>
          <w:sz w:val="32"/>
          <w:szCs w:val="32"/>
        </w:rPr>
        <w:t>（配合单位：各行业主管部门）</w:t>
      </w:r>
    </w:p>
    <w:p w14:paraId="7D7A9C2B">
      <w:pPr>
        <w:spacing w:line="560" w:lineRule="exact"/>
        <w:rPr>
          <w:rFonts w:ascii="Times New Roman" w:hAnsi="Times New Roman" w:eastAsia="黑体" w:cs="Times New Roman"/>
          <w:bCs/>
          <w:kern w:val="0"/>
          <w:sz w:val="32"/>
          <w:szCs w:val="32"/>
        </w:rPr>
      </w:pPr>
    </w:p>
    <w:p w14:paraId="3B1638EF">
      <w:pPr>
        <w:rPr>
          <w:highlight w:val="none"/>
        </w:rPr>
      </w:pPr>
    </w:p>
    <w:p w14:paraId="2F494D2A">
      <w:pPr>
        <w:pStyle w:val="4"/>
        <w:spacing w:line="560" w:lineRule="exact"/>
        <w:ind w:left="0" w:firstLine="320"/>
        <w:jc w:val="left"/>
        <w:rPr>
          <w:highlight w:val="none"/>
        </w:rPr>
      </w:pPr>
    </w:p>
    <w:sectPr>
      <w:footerReference r:id="rId6"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388B7E-6CF2-4261-8E7C-EEC4B7752F4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embedRegular r:id="rId2" w:fontKey="{BE64CF24-6ED0-4E69-90D6-DE16A9E9549D}"/>
  </w:font>
  <w:font w:name="仿宋_GB2312">
    <w:panose1 w:val="02010609030101010101"/>
    <w:charset w:val="86"/>
    <w:family w:val="auto"/>
    <w:pitch w:val="default"/>
    <w:sig w:usb0="00000001" w:usb1="080E0000" w:usb2="00000000" w:usb3="00000000" w:csb0="00040000" w:csb1="00000000"/>
    <w:embedRegular r:id="rId3" w:fontKey="{498A9CCD-442D-41D8-BADC-034995515C65}"/>
  </w:font>
  <w:font w:name="华文中宋">
    <w:panose1 w:val="02010600040101010101"/>
    <w:charset w:val="86"/>
    <w:family w:val="auto"/>
    <w:pitch w:val="default"/>
    <w:sig w:usb0="00000287" w:usb1="080F0000" w:usb2="00000000" w:usb3="00000000" w:csb0="0004009F" w:csb1="DFD70000"/>
    <w:embedRegular r:id="rId4" w:fontKey="{959CE35C-8D1E-4F5D-BAC8-7A4D10CA1CA8}"/>
  </w:font>
  <w:font w:name="楷体_GB2312">
    <w:panose1 w:val="02010609030101010101"/>
    <w:charset w:val="86"/>
    <w:family w:val="modern"/>
    <w:pitch w:val="default"/>
    <w:sig w:usb0="00000001" w:usb1="080E0000" w:usb2="00000000" w:usb3="00000000" w:csb0="00040000" w:csb1="00000000"/>
    <w:embedRegular r:id="rId5" w:fontKey="{086A78FB-4635-42BD-8E38-AF81CE4E85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70BA7">
    <w:pPr>
      <w:tabs>
        <w:tab w:val="center" w:pos="4153"/>
        <w:tab w:val="right" w:pos="8306"/>
      </w:tabs>
      <w:snapToGrid w:val="0"/>
      <w:spacing w:line="240" w:lineRule="atLeast"/>
      <w:jc w:val="left"/>
      <w:rPr>
        <w:rFonts w:eastAsia="仿宋_GB2312"/>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2C2B6">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BB2C2B6">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0ABBB">
    <w:pPr>
      <w:pStyle w:val="7"/>
      <w:ind w:right="180"/>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B5F5BD">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9B5F5BD">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5B827">
    <w:pPr>
      <w:pStyle w:val="7"/>
    </w:pPr>
    <w:r>
      <w:rPr>
        <w:rStyle w:val="15"/>
        <w:rFonts w:hint="eastAsia" w:ascii="宋体"/>
        <w:sz w:val="28"/>
        <w:szCs w:val="28"/>
      </w:rPr>
      <w:t>－</w:t>
    </w:r>
    <w:r>
      <w:rPr>
        <w:rStyle w:val="15"/>
        <w:rFonts w:ascii="宋体"/>
        <w:sz w:val="28"/>
        <w:szCs w:val="28"/>
      </w:rPr>
      <w:t xml:space="preserve"> </w:t>
    </w:r>
    <w:r>
      <w:rPr>
        <w:rFonts w:ascii="宋体"/>
        <w:sz w:val="28"/>
        <w:szCs w:val="28"/>
      </w:rPr>
      <w:fldChar w:fldCharType="begin"/>
    </w:r>
    <w:r>
      <w:rPr>
        <w:rStyle w:val="15"/>
        <w:rFonts w:ascii="宋体"/>
        <w:sz w:val="28"/>
        <w:szCs w:val="28"/>
      </w:rPr>
      <w:instrText xml:space="preserve">PAGE  </w:instrText>
    </w:r>
    <w:r>
      <w:rPr>
        <w:rFonts w:ascii="宋体"/>
        <w:sz w:val="28"/>
        <w:szCs w:val="28"/>
      </w:rPr>
      <w:fldChar w:fldCharType="separate"/>
    </w:r>
    <w:r>
      <w:rPr>
        <w:rStyle w:val="15"/>
        <w:rFonts w:ascii="宋体"/>
        <w:sz w:val="28"/>
        <w:szCs w:val="28"/>
      </w:rPr>
      <w:t>14</w:t>
    </w:r>
    <w:r>
      <w:rPr>
        <w:rFonts w:ascii="宋体"/>
        <w:sz w:val="28"/>
        <w:szCs w:val="28"/>
      </w:rPr>
      <w:fldChar w:fldCharType="end"/>
    </w:r>
    <w:r>
      <w:rPr>
        <w:rStyle w:val="15"/>
        <w:rFonts w:ascii="宋体"/>
        <w:sz w:val="28"/>
        <w:szCs w:val="28"/>
      </w:rPr>
      <w:t xml:space="preserve"> </w:t>
    </w:r>
    <w:r>
      <w:rPr>
        <w:rStyle w:val="15"/>
        <w:rFonts w:hint="eastAsia" w:ascii="宋体"/>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CEC7">
    <w:pPr>
      <w:pStyle w:val="7"/>
      <w:ind w:right="180"/>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F368D">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42F368D">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18</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E83CA"/>
    <w:multiLevelType w:val="singleLevel"/>
    <w:tmpl w:val="9F6E83C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4ODczNDY0NjAxMmJlMmMxNGNmN2MyYTdmNDFmYmIifQ=="/>
    <w:docVar w:name="KGWebUrl" w:val="https://oa.kjt.zj.gov.cn:443/newsease/OfficeServer"/>
  </w:docVars>
  <w:rsids>
    <w:rsidRoot w:val="00172A27"/>
    <w:rsid w:val="00011772"/>
    <w:rsid w:val="00042A98"/>
    <w:rsid w:val="00045724"/>
    <w:rsid w:val="00045851"/>
    <w:rsid w:val="00047E8A"/>
    <w:rsid w:val="00052C9B"/>
    <w:rsid w:val="00055974"/>
    <w:rsid w:val="000617C7"/>
    <w:rsid w:val="000638B3"/>
    <w:rsid w:val="000745AB"/>
    <w:rsid w:val="00083B19"/>
    <w:rsid w:val="00093827"/>
    <w:rsid w:val="000A13C2"/>
    <w:rsid w:val="000F10A8"/>
    <w:rsid w:val="000F5247"/>
    <w:rsid w:val="00107A95"/>
    <w:rsid w:val="0015047A"/>
    <w:rsid w:val="00151112"/>
    <w:rsid w:val="0015706A"/>
    <w:rsid w:val="00172A27"/>
    <w:rsid w:val="00180458"/>
    <w:rsid w:val="00180570"/>
    <w:rsid w:val="001842BF"/>
    <w:rsid w:val="001D5226"/>
    <w:rsid w:val="001E553D"/>
    <w:rsid w:val="001F76B0"/>
    <w:rsid w:val="00201502"/>
    <w:rsid w:val="002224F9"/>
    <w:rsid w:val="00246AED"/>
    <w:rsid w:val="00247F83"/>
    <w:rsid w:val="00257E65"/>
    <w:rsid w:val="0027466B"/>
    <w:rsid w:val="00282F99"/>
    <w:rsid w:val="002937ED"/>
    <w:rsid w:val="002A066C"/>
    <w:rsid w:val="002B7472"/>
    <w:rsid w:val="002D31AA"/>
    <w:rsid w:val="002E75E0"/>
    <w:rsid w:val="002F4F38"/>
    <w:rsid w:val="00345003"/>
    <w:rsid w:val="0036644C"/>
    <w:rsid w:val="003D78A8"/>
    <w:rsid w:val="003F7BF2"/>
    <w:rsid w:val="004269D1"/>
    <w:rsid w:val="0043403F"/>
    <w:rsid w:val="0044519B"/>
    <w:rsid w:val="00447242"/>
    <w:rsid w:val="004573A7"/>
    <w:rsid w:val="004A3B43"/>
    <w:rsid w:val="004A3E74"/>
    <w:rsid w:val="004B7A7E"/>
    <w:rsid w:val="004C32A1"/>
    <w:rsid w:val="004D3532"/>
    <w:rsid w:val="004E1A84"/>
    <w:rsid w:val="004F06B3"/>
    <w:rsid w:val="004F2459"/>
    <w:rsid w:val="004F46F8"/>
    <w:rsid w:val="0051587E"/>
    <w:rsid w:val="005614C1"/>
    <w:rsid w:val="0056715C"/>
    <w:rsid w:val="005733C1"/>
    <w:rsid w:val="00574169"/>
    <w:rsid w:val="00585FFB"/>
    <w:rsid w:val="005901EA"/>
    <w:rsid w:val="005A02B3"/>
    <w:rsid w:val="005A79DE"/>
    <w:rsid w:val="00600A16"/>
    <w:rsid w:val="00633A9C"/>
    <w:rsid w:val="00653AC0"/>
    <w:rsid w:val="00664790"/>
    <w:rsid w:val="00671FD9"/>
    <w:rsid w:val="0067555F"/>
    <w:rsid w:val="00676356"/>
    <w:rsid w:val="00676660"/>
    <w:rsid w:val="00676DD6"/>
    <w:rsid w:val="00681D41"/>
    <w:rsid w:val="00686573"/>
    <w:rsid w:val="00687E05"/>
    <w:rsid w:val="006C6EEF"/>
    <w:rsid w:val="006E6575"/>
    <w:rsid w:val="00705FB6"/>
    <w:rsid w:val="007064B6"/>
    <w:rsid w:val="00752B3B"/>
    <w:rsid w:val="00793695"/>
    <w:rsid w:val="00794EE9"/>
    <w:rsid w:val="007B1298"/>
    <w:rsid w:val="007B198F"/>
    <w:rsid w:val="007B4B05"/>
    <w:rsid w:val="007C3F74"/>
    <w:rsid w:val="007C4E8B"/>
    <w:rsid w:val="007C7421"/>
    <w:rsid w:val="007E6B6C"/>
    <w:rsid w:val="007F1A12"/>
    <w:rsid w:val="00811E10"/>
    <w:rsid w:val="00812FCB"/>
    <w:rsid w:val="00821AB9"/>
    <w:rsid w:val="0082787C"/>
    <w:rsid w:val="00845302"/>
    <w:rsid w:val="00861AB1"/>
    <w:rsid w:val="008763C9"/>
    <w:rsid w:val="00881AD1"/>
    <w:rsid w:val="008970EE"/>
    <w:rsid w:val="008B1543"/>
    <w:rsid w:val="008B7680"/>
    <w:rsid w:val="008D7C9A"/>
    <w:rsid w:val="008F0043"/>
    <w:rsid w:val="008F5C5A"/>
    <w:rsid w:val="008F78D9"/>
    <w:rsid w:val="009129EF"/>
    <w:rsid w:val="0092581E"/>
    <w:rsid w:val="00940B15"/>
    <w:rsid w:val="00946A48"/>
    <w:rsid w:val="00947698"/>
    <w:rsid w:val="00951E9C"/>
    <w:rsid w:val="0095231B"/>
    <w:rsid w:val="009604B0"/>
    <w:rsid w:val="00964530"/>
    <w:rsid w:val="009805F0"/>
    <w:rsid w:val="00990378"/>
    <w:rsid w:val="009967C6"/>
    <w:rsid w:val="009B6C34"/>
    <w:rsid w:val="009D47B0"/>
    <w:rsid w:val="009E1D6C"/>
    <w:rsid w:val="009E7A2D"/>
    <w:rsid w:val="009F1707"/>
    <w:rsid w:val="00A01FA1"/>
    <w:rsid w:val="00A5116A"/>
    <w:rsid w:val="00A700A7"/>
    <w:rsid w:val="00A71E86"/>
    <w:rsid w:val="00A7796E"/>
    <w:rsid w:val="00A9008A"/>
    <w:rsid w:val="00AA09D0"/>
    <w:rsid w:val="00AC049E"/>
    <w:rsid w:val="00AC17C4"/>
    <w:rsid w:val="00AE0A50"/>
    <w:rsid w:val="00AE1A61"/>
    <w:rsid w:val="00AF0960"/>
    <w:rsid w:val="00AF4C2A"/>
    <w:rsid w:val="00B03B89"/>
    <w:rsid w:val="00B04710"/>
    <w:rsid w:val="00B144D0"/>
    <w:rsid w:val="00B30C15"/>
    <w:rsid w:val="00B33C41"/>
    <w:rsid w:val="00B6476D"/>
    <w:rsid w:val="00B67980"/>
    <w:rsid w:val="00B75C8C"/>
    <w:rsid w:val="00B83FCC"/>
    <w:rsid w:val="00B859F1"/>
    <w:rsid w:val="00B86D64"/>
    <w:rsid w:val="00B93808"/>
    <w:rsid w:val="00B9636E"/>
    <w:rsid w:val="00BA2092"/>
    <w:rsid w:val="00BA2EC8"/>
    <w:rsid w:val="00BB2667"/>
    <w:rsid w:val="00BB600E"/>
    <w:rsid w:val="00BC4267"/>
    <w:rsid w:val="00BC7678"/>
    <w:rsid w:val="00BE3F62"/>
    <w:rsid w:val="00BF6CD2"/>
    <w:rsid w:val="00BF78DD"/>
    <w:rsid w:val="00C10F72"/>
    <w:rsid w:val="00C13D0A"/>
    <w:rsid w:val="00C16C2B"/>
    <w:rsid w:val="00C17BA4"/>
    <w:rsid w:val="00C2387C"/>
    <w:rsid w:val="00C33BDC"/>
    <w:rsid w:val="00C443D7"/>
    <w:rsid w:val="00C4524A"/>
    <w:rsid w:val="00C55597"/>
    <w:rsid w:val="00C5566B"/>
    <w:rsid w:val="00C5659F"/>
    <w:rsid w:val="00C735E2"/>
    <w:rsid w:val="00C82E7F"/>
    <w:rsid w:val="00C83213"/>
    <w:rsid w:val="00C91109"/>
    <w:rsid w:val="00C965D0"/>
    <w:rsid w:val="00C97DC7"/>
    <w:rsid w:val="00CC1BD4"/>
    <w:rsid w:val="00CD1AE5"/>
    <w:rsid w:val="00CD2693"/>
    <w:rsid w:val="00CD5431"/>
    <w:rsid w:val="00CE3288"/>
    <w:rsid w:val="00CE42EB"/>
    <w:rsid w:val="00CF02FE"/>
    <w:rsid w:val="00D06083"/>
    <w:rsid w:val="00D0617C"/>
    <w:rsid w:val="00D1150C"/>
    <w:rsid w:val="00D21C7F"/>
    <w:rsid w:val="00D22E28"/>
    <w:rsid w:val="00D315D8"/>
    <w:rsid w:val="00D52109"/>
    <w:rsid w:val="00D70959"/>
    <w:rsid w:val="00DA34F2"/>
    <w:rsid w:val="00DB1CED"/>
    <w:rsid w:val="00DB589C"/>
    <w:rsid w:val="00DB6D2D"/>
    <w:rsid w:val="00DE2D8F"/>
    <w:rsid w:val="00DE5C3D"/>
    <w:rsid w:val="00E04F41"/>
    <w:rsid w:val="00E17CBB"/>
    <w:rsid w:val="00E20262"/>
    <w:rsid w:val="00E406CF"/>
    <w:rsid w:val="00E42762"/>
    <w:rsid w:val="00E47D49"/>
    <w:rsid w:val="00E51285"/>
    <w:rsid w:val="00E646BD"/>
    <w:rsid w:val="00EA6265"/>
    <w:rsid w:val="00EC6296"/>
    <w:rsid w:val="00EC78EA"/>
    <w:rsid w:val="00ED3DEA"/>
    <w:rsid w:val="00F34AC8"/>
    <w:rsid w:val="00F45585"/>
    <w:rsid w:val="00F46891"/>
    <w:rsid w:val="00F47744"/>
    <w:rsid w:val="00F63F5E"/>
    <w:rsid w:val="00F804B9"/>
    <w:rsid w:val="00F8376D"/>
    <w:rsid w:val="00F934E7"/>
    <w:rsid w:val="00FB731B"/>
    <w:rsid w:val="00FC021A"/>
    <w:rsid w:val="00FC1C06"/>
    <w:rsid w:val="00FC2158"/>
    <w:rsid w:val="00FD1B18"/>
    <w:rsid w:val="00FF5CEB"/>
    <w:rsid w:val="01736F33"/>
    <w:rsid w:val="01ED6EBF"/>
    <w:rsid w:val="027569E4"/>
    <w:rsid w:val="03011BBD"/>
    <w:rsid w:val="0334789D"/>
    <w:rsid w:val="047A5783"/>
    <w:rsid w:val="06344FC8"/>
    <w:rsid w:val="06FB497E"/>
    <w:rsid w:val="093A309C"/>
    <w:rsid w:val="0A9B30A2"/>
    <w:rsid w:val="0ABB1C65"/>
    <w:rsid w:val="0C915F5F"/>
    <w:rsid w:val="0CF324AA"/>
    <w:rsid w:val="0EDED7A1"/>
    <w:rsid w:val="0EE205D3"/>
    <w:rsid w:val="0EF9544F"/>
    <w:rsid w:val="0F024C98"/>
    <w:rsid w:val="0FEFCF88"/>
    <w:rsid w:val="0FFF9E87"/>
    <w:rsid w:val="129B31AF"/>
    <w:rsid w:val="13B0048A"/>
    <w:rsid w:val="15684606"/>
    <w:rsid w:val="158C7E7A"/>
    <w:rsid w:val="161D197D"/>
    <w:rsid w:val="16FF760F"/>
    <w:rsid w:val="17813DC4"/>
    <w:rsid w:val="17EC580F"/>
    <w:rsid w:val="18206F39"/>
    <w:rsid w:val="186F09F2"/>
    <w:rsid w:val="190B5F92"/>
    <w:rsid w:val="19303E00"/>
    <w:rsid w:val="193F3F77"/>
    <w:rsid w:val="195B0822"/>
    <w:rsid w:val="19925EF3"/>
    <w:rsid w:val="1B5F8A3D"/>
    <w:rsid w:val="1C6280F8"/>
    <w:rsid w:val="1D7B494D"/>
    <w:rsid w:val="1D9F469F"/>
    <w:rsid w:val="1EEBC40F"/>
    <w:rsid w:val="1FFB4BE9"/>
    <w:rsid w:val="1FFD6A42"/>
    <w:rsid w:val="1FFE6BC7"/>
    <w:rsid w:val="21527D25"/>
    <w:rsid w:val="2191729C"/>
    <w:rsid w:val="23C530C4"/>
    <w:rsid w:val="2656034A"/>
    <w:rsid w:val="27D77DE0"/>
    <w:rsid w:val="27E5B35D"/>
    <w:rsid w:val="29A84307"/>
    <w:rsid w:val="29B10EE3"/>
    <w:rsid w:val="2A9A5ECF"/>
    <w:rsid w:val="2BFD7706"/>
    <w:rsid w:val="2C1329AA"/>
    <w:rsid w:val="2C880065"/>
    <w:rsid w:val="2DAF1371"/>
    <w:rsid w:val="2E2F240A"/>
    <w:rsid w:val="2EA36485"/>
    <w:rsid w:val="2FB19232"/>
    <w:rsid w:val="313806CC"/>
    <w:rsid w:val="317729D0"/>
    <w:rsid w:val="31B3286D"/>
    <w:rsid w:val="33E5A1C0"/>
    <w:rsid w:val="358063EB"/>
    <w:rsid w:val="35835F72"/>
    <w:rsid w:val="35A70F8C"/>
    <w:rsid w:val="35CB6607"/>
    <w:rsid w:val="35FFA496"/>
    <w:rsid w:val="36392E40"/>
    <w:rsid w:val="37090FAA"/>
    <w:rsid w:val="379876F3"/>
    <w:rsid w:val="37CF2D64"/>
    <w:rsid w:val="37FFDAE7"/>
    <w:rsid w:val="38404012"/>
    <w:rsid w:val="38904376"/>
    <w:rsid w:val="38DC33F0"/>
    <w:rsid w:val="3AA00D4C"/>
    <w:rsid w:val="3BF758A4"/>
    <w:rsid w:val="3CB72AC4"/>
    <w:rsid w:val="3DF7F529"/>
    <w:rsid w:val="3E0A1F12"/>
    <w:rsid w:val="3E1A66CA"/>
    <w:rsid w:val="3F7FD12C"/>
    <w:rsid w:val="3F9FFAB1"/>
    <w:rsid w:val="3FCF3EBD"/>
    <w:rsid w:val="3FD355E0"/>
    <w:rsid w:val="3FDF3716"/>
    <w:rsid w:val="3FF5E81D"/>
    <w:rsid w:val="3FF8A44B"/>
    <w:rsid w:val="40672358"/>
    <w:rsid w:val="42402E61"/>
    <w:rsid w:val="430E4551"/>
    <w:rsid w:val="447027DB"/>
    <w:rsid w:val="44E61973"/>
    <w:rsid w:val="45D41639"/>
    <w:rsid w:val="47351853"/>
    <w:rsid w:val="47DA11DC"/>
    <w:rsid w:val="47E31D4A"/>
    <w:rsid w:val="4AFB3CB8"/>
    <w:rsid w:val="4BBC48D4"/>
    <w:rsid w:val="4BDA4326"/>
    <w:rsid w:val="4D9C4227"/>
    <w:rsid w:val="4DBEB1F6"/>
    <w:rsid w:val="4E11309F"/>
    <w:rsid w:val="4ECE63DA"/>
    <w:rsid w:val="4FBBC101"/>
    <w:rsid w:val="4FBCBA69"/>
    <w:rsid w:val="50622464"/>
    <w:rsid w:val="508A01FD"/>
    <w:rsid w:val="5160183E"/>
    <w:rsid w:val="518D1E7A"/>
    <w:rsid w:val="529A43AF"/>
    <w:rsid w:val="53160B7D"/>
    <w:rsid w:val="547C578F"/>
    <w:rsid w:val="55895335"/>
    <w:rsid w:val="559642BC"/>
    <w:rsid w:val="56775882"/>
    <w:rsid w:val="579E7B7C"/>
    <w:rsid w:val="57BD72B6"/>
    <w:rsid w:val="57F6E1A2"/>
    <w:rsid w:val="594F0072"/>
    <w:rsid w:val="5977CF74"/>
    <w:rsid w:val="5A8E07B6"/>
    <w:rsid w:val="5B8A6BC3"/>
    <w:rsid w:val="5BEF0F3F"/>
    <w:rsid w:val="5C3A6E47"/>
    <w:rsid w:val="5C8E0F41"/>
    <w:rsid w:val="5DFF8EF2"/>
    <w:rsid w:val="5E0C10BA"/>
    <w:rsid w:val="5E8A3ED8"/>
    <w:rsid w:val="5EEB4B84"/>
    <w:rsid w:val="5EEF8EF3"/>
    <w:rsid w:val="5EF7E26D"/>
    <w:rsid w:val="5F5FDD42"/>
    <w:rsid w:val="5F7B9FC2"/>
    <w:rsid w:val="5FAF9A4B"/>
    <w:rsid w:val="5FFBBA63"/>
    <w:rsid w:val="6015244D"/>
    <w:rsid w:val="60C0036F"/>
    <w:rsid w:val="62543B7E"/>
    <w:rsid w:val="63584057"/>
    <w:rsid w:val="63FBD77E"/>
    <w:rsid w:val="65FF2ADE"/>
    <w:rsid w:val="66287A2C"/>
    <w:rsid w:val="66B62CDC"/>
    <w:rsid w:val="67557F59"/>
    <w:rsid w:val="67BD64D1"/>
    <w:rsid w:val="67C5278C"/>
    <w:rsid w:val="6A0A40D4"/>
    <w:rsid w:val="6AEF7F14"/>
    <w:rsid w:val="6B6F2B40"/>
    <w:rsid w:val="6C577551"/>
    <w:rsid w:val="6C711CE5"/>
    <w:rsid w:val="6C73408D"/>
    <w:rsid w:val="6CD74487"/>
    <w:rsid w:val="6D5F7647"/>
    <w:rsid w:val="6D73128F"/>
    <w:rsid w:val="6D7953D4"/>
    <w:rsid w:val="6DDF5540"/>
    <w:rsid w:val="6DF78359"/>
    <w:rsid w:val="6FA6B324"/>
    <w:rsid w:val="6FDFF177"/>
    <w:rsid w:val="6FFFFF35"/>
    <w:rsid w:val="71F77C76"/>
    <w:rsid w:val="72996930"/>
    <w:rsid w:val="735A0AC6"/>
    <w:rsid w:val="7379DCCC"/>
    <w:rsid w:val="73BE1570"/>
    <w:rsid w:val="747B13C8"/>
    <w:rsid w:val="74AE4E10"/>
    <w:rsid w:val="74EE5E75"/>
    <w:rsid w:val="755F3154"/>
    <w:rsid w:val="756B7C19"/>
    <w:rsid w:val="757F9144"/>
    <w:rsid w:val="75DF7C21"/>
    <w:rsid w:val="75EF4EB6"/>
    <w:rsid w:val="7642496E"/>
    <w:rsid w:val="76522B87"/>
    <w:rsid w:val="76F7BBBF"/>
    <w:rsid w:val="76FC0C04"/>
    <w:rsid w:val="772877BF"/>
    <w:rsid w:val="77955E9B"/>
    <w:rsid w:val="779DE65A"/>
    <w:rsid w:val="77DE220A"/>
    <w:rsid w:val="77DF2788"/>
    <w:rsid w:val="77FF3B31"/>
    <w:rsid w:val="7867F071"/>
    <w:rsid w:val="78748AAB"/>
    <w:rsid w:val="787C6BA3"/>
    <w:rsid w:val="78CEDE88"/>
    <w:rsid w:val="795D7C7F"/>
    <w:rsid w:val="797F5899"/>
    <w:rsid w:val="79AFF9CB"/>
    <w:rsid w:val="79E4F1F2"/>
    <w:rsid w:val="7A4FB6A4"/>
    <w:rsid w:val="7A7C11B1"/>
    <w:rsid w:val="7AA5F0A5"/>
    <w:rsid w:val="7ABDFE50"/>
    <w:rsid w:val="7BAB0D70"/>
    <w:rsid w:val="7BCE1B98"/>
    <w:rsid w:val="7BF50408"/>
    <w:rsid w:val="7BFEE8EE"/>
    <w:rsid w:val="7C6D2881"/>
    <w:rsid w:val="7D4344D5"/>
    <w:rsid w:val="7D7E970B"/>
    <w:rsid w:val="7DB52A15"/>
    <w:rsid w:val="7DBFA6E3"/>
    <w:rsid w:val="7DCB0538"/>
    <w:rsid w:val="7DDE52A2"/>
    <w:rsid w:val="7DFB2AFD"/>
    <w:rsid w:val="7DFB8E32"/>
    <w:rsid w:val="7DFBF9E9"/>
    <w:rsid w:val="7E573455"/>
    <w:rsid w:val="7E6F9531"/>
    <w:rsid w:val="7E92982E"/>
    <w:rsid w:val="7EB7556F"/>
    <w:rsid w:val="7EEFFC65"/>
    <w:rsid w:val="7EFC6A95"/>
    <w:rsid w:val="7F0F6DA7"/>
    <w:rsid w:val="7F17FDDE"/>
    <w:rsid w:val="7F671217"/>
    <w:rsid w:val="7F6F760C"/>
    <w:rsid w:val="7F6FC7BA"/>
    <w:rsid w:val="7F740C6A"/>
    <w:rsid w:val="7F974881"/>
    <w:rsid w:val="7F9F8952"/>
    <w:rsid w:val="7FA721C0"/>
    <w:rsid w:val="7FA77AA0"/>
    <w:rsid w:val="7FBDFEAC"/>
    <w:rsid w:val="7FCD2EC0"/>
    <w:rsid w:val="7FCD9807"/>
    <w:rsid w:val="7FCFD52A"/>
    <w:rsid w:val="7FE24CC1"/>
    <w:rsid w:val="7FE74BF9"/>
    <w:rsid w:val="7FE98AAC"/>
    <w:rsid w:val="7FEA362F"/>
    <w:rsid w:val="7FEE22A8"/>
    <w:rsid w:val="7FF30D03"/>
    <w:rsid w:val="7FF686EE"/>
    <w:rsid w:val="7FFB9725"/>
    <w:rsid w:val="7FFDEE7E"/>
    <w:rsid w:val="7FFDF0CB"/>
    <w:rsid w:val="7FFEBAFA"/>
    <w:rsid w:val="7FFFFC24"/>
    <w:rsid w:val="8D5E2FD5"/>
    <w:rsid w:val="8DD70FB8"/>
    <w:rsid w:val="8FFB1D98"/>
    <w:rsid w:val="9BFB6BEB"/>
    <w:rsid w:val="9DFE689C"/>
    <w:rsid w:val="A3E67E61"/>
    <w:rsid w:val="AAE67A93"/>
    <w:rsid w:val="AFABBC1E"/>
    <w:rsid w:val="AFB0048F"/>
    <w:rsid w:val="AFF96AAC"/>
    <w:rsid w:val="B2B73FA9"/>
    <w:rsid w:val="B3DC3DD3"/>
    <w:rsid w:val="B3FAA6EB"/>
    <w:rsid w:val="B4FBD681"/>
    <w:rsid w:val="B5EFBF8B"/>
    <w:rsid w:val="B8DF97B3"/>
    <w:rsid w:val="BB6F9913"/>
    <w:rsid w:val="BB7764A1"/>
    <w:rsid w:val="BBEF766A"/>
    <w:rsid w:val="BCFF4168"/>
    <w:rsid w:val="BEB28AAD"/>
    <w:rsid w:val="BEEF1429"/>
    <w:rsid w:val="BF2FA87B"/>
    <w:rsid w:val="BF6F2465"/>
    <w:rsid w:val="BFFB7E85"/>
    <w:rsid w:val="C5DD6682"/>
    <w:rsid w:val="CAF9B2CE"/>
    <w:rsid w:val="CEFF4D3A"/>
    <w:rsid w:val="CF77651C"/>
    <w:rsid w:val="CFA49071"/>
    <w:rsid w:val="CFD87853"/>
    <w:rsid w:val="CFFC1D83"/>
    <w:rsid w:val="D0DDF6C7"/>
    <w:rsid w:val="D2FF9DBA"/>
    <w:rsid w:val="D3EEE87D"/>
    <w:rsid w:val="D56B0EDC"/>
    <w:rsid w:val="D6B38417"/>
    <w:rsid w:val="D7ED5955"/>
    <w:rsid w:val="D9EFC6A0"/>
    <w:rsid w:val="DBF428FF"/>
    <w:rsid w:val="DCFF6073"/>
    <w:rsid w:val="DDBEEFC1"/>
    <w:rsid w:val="DE796F74"/>
    <w:rsid w:val="DEDDCE88"/>
    <w:rsid w:val="DEFEF709"/>
    <w:rsid w:val="DF37446D"/>
    <w:rsid w:val="DFDF38B1"/>
    <w:rsid w:val="DFF7BF15"/>
    <w:rsid w:val="DFFD7EAF"/>
    <w:rsid w:val="DFFFBD46"/>
    <w:rsid w:val="E1DFA891"/>
    <w:rsid w:val="E5B7B72C"/>
    <w:rsid w:val="E5DF2D09"/>
    <w:rsid w:val="E6FE4446"/>
    <w:rsid w:val="E71B1ABE"/>
    <w:rsid w:val="E7BEEE0E"/>
    <w:rsid w:val="E97E061D"/>
    <w:rsid w:val="E9EF56C4"/>
    <w:rsid w:val="EBFBA04C"/>
    <w:rsid w:val="EBFF968B"/>
    <w:rsid w:val="EDDFB60D"/>
    <w:rsid w:val="EDE52020"/>
    <w:rsid w:val="EDFEE7E6"/>
    <w:rsid w:val="EFD6A2CF"/>
    <w:rsid w:val="EFEF8433"/>
    <w:rsid w:val="EFF35F96"/>
    <w:rsid w:val="EFFF449C"/>
    <w:rsid w:val="EFFF9511"/>
    <w:rsid w:val="F1D73F0D"/>
    <w:rsid w:val="F1FA1C04"/>
    <w:rsid w:val="F1FFC004"/>
    <w:rsid w:val="F208EC8C"/>
    <w:rsid w:val="F3F7B046"/>
    <w:rsid w:val="F43B5AD0"/>
    <w:rsid w:val="F589AAFF"/>
    <w:rsid w:val="F6DD84E1"/>
    <w:rsid w:val="F78D49FA"/>
    <w:rsid w:val="F7EF90A1"/>
    <w:rsid w:val="F7F1D128"/>
    <w:rsid w:val="F7FB31CB"/>
    <w:rsid w:val="F83E6ED4"/>
    <w:rsid w:val="F8C65A46"/>
    <w:rsid w:val="FA1FD95E"/>
    <w:rsid w:val="FA7FDD97"/>
    <w:rsid w:val="FAFD00DF"/>
    <w:rsid w:val="FAFDAF77"/>
    <w:rsid w:val="FBCAE6D2"/>
    <w:rsid w:val="FBDBAA70"/>
    <w:rsid w:val="FBE57075"/>
    <w:rsid w:val="FBF79EAA"/>
    <w:rsid w:val="FBFAC76C"/>
    <w:rsid w:val="FBFE5981"/>
    <w:rsid w:val="FBFF41FB"/>
    <w:rsid w:val="FD7F0D9B"/>
    <w:rsid w:val="FD7FFA1C"/>
    <w:rsid w:val="FD924F5A"/>
    <w:rsid w:val="FDBF3F20"/>
    <w:rsid w:val="FDDF4FB1"/>
    <w:rsid w:val="FDDFE861"/>
    <w:rsid w:val="FE943161"/>
    <w:rsid w:val="FEE7C4AA"/>
    <w:rsid w:val="FEE94CE3"/>
    <w:rsid w:val="FEEF9AD9"/>
    <w:rsid w:val="FF0FDD30"/>
    <w:rsid w:val="FF2F0DEC"/>
    <w:rsid w:val="FF3F77C8"/>
    <w:rsid w:val="FF5BCFFE"/>
    <w:rsid w:val="FF5DCEE9"/>
    <w:rsid w:val="FF6F714D"/>
    <w:rsid w:val="FF8ECEEA"/>
    <w:rsid w:val="FF8F98ED"/>
    <w:rsid w:val="FF9F930A"/>
    <w:rsid w:val="FFA56B87"/>
    <w:rsid w:val="FFA7A398"/>
    <w:rsid w:val="FFBF62B0"/>
    <w:rsid w:val="FFD55FBA"/>
    <w:rsid w:val="FFDFDDDE"/>
    <w:rsid w:val="FFEA8F69"/>
    <w:rsid w:val="FFF90357"/>
    <w:rsid w:val="FFFFBE7B"/>
    <w:rsid w:val="FFFFDE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22"/>
    <w:unhideWhenUsed/>
    <w:qFormat/>
    <w:uiPriority w:val="0"/>
    <w:pPr>
      <w:keepNext/>
      <w:keepLines/>
      <w:spacing w:before="200" w:after="200"/>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6"/>
    <w:unhideWhenUsed/>
    <w:qFormat/>
    <w:uiPriority w:val="1"/>
    <w:pPr>
      <w:ind w:left="214"/>
    </w:pPr>
    <w:rPr>
      <w:sz w:val="32"/>
      <w:szCs w:val="32"/>
    </w:rPr>
  </w:style>
  <w:style w:type="paragraph" w:styleId="4">
    <w:name w:val="Body Text First Indent"/>
    <w:basedOn w:val="3"/>
    <w:next w:val="1"/>
    <w:qFormat/>
    <w:uiPriority w:val="0"/>
    <w:pPr>
      <w:ind w:firstLine="420" w:firstLineChars="100"/>
    </w:pPr>
  </w:style>
  <w:style w:type="paragraph" w:styleId="5">
    <w:name w:val="Date"/>
    <w:basedOn w:val="1"/>
    <w:next w:val="1"/>
    <w:link w:val="17"/>
    <w:unhideWhenUsed/>
    <w:qFormat/>
    <w:uiPriority w:val="99"/>
    <w:pPr>
      <w:ind w:left="100" w:leftChars="2500"/>
    </w:pPr>
  </w:style>
  <w:style w:type="paragraph" w:styleId="6">
    <w:name w:val="Balloon Text"/>
    <w:basedOn w:val="1"/>
    <w:link w:val="18"/>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index 7"/>
    <w:basedOn w:val="1"/>
    <w:next w:val="1"/>
    <w:unhideWhenUsed/>
    <w:qFormat/>
    <w:uiPriority w:val="0"/>
    <w:pPr>
      <w:ind w:left="2520"/>
    </w:pPr>
  </w:style>
  <w:style w:type="paragraph" w:styleId="10">
    <w:name w:val="Normal (Web)"/>
    <w:basedOn w:val="1"/>
    <w:qFormat/>
    <w:uiPriority w:val="0"/>
    <w:rPr>
      <w:sz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page number"/>
    <w:qFormat/>
    <w:uiPriority w:val="0"/>
  </w:style>
  <w:style w:type="character" w:customStyle="1" w:styleId="16">
    <w:name w:val="正文文本 Char"/>
    <w:link w:val="3"/>
    <w:qFormat/>
    <w:uiPriority w:val="1"/>
    <w:rPr>
      <w:kern w:val="2"/>
      <w:sz w:val="32"/>
      <w:szCs w:val="32"/>
    </w:rPr>
  </w:style>
  <w:style w:type="character" w:customStyle="1" w:styleId="17">
    <w:name w:val="日期 Char"/>
    <w:link w:val="5"/>
    <w:semiHidden/>
    <w:qFormat/>
    <w:uiPriority w:val="99"/>
    <w:rPr>
      <w:rFonts w:ascii="Times New Roman" w:hAnsi="Times New Roman"/>
      <w:kern w:val="2"/>
      <w:sz w:val="21"/>
      <w:szCs w:val="24"/>
    </w:rPr>
  </w:style>
  <w:style w:type="character" w:customStyle="1" w:styleId="18">
    <w:name w:val="批注框文本 Char"/>
    <w:link w:val="6"/>
    <w:semiHidden/>
    <w:qFormat/>
    <w:uiPriority w:val="99"/>
    <w:rPr>
      <w:rFonts w:ascii="Times New Roman" w:hAnsi="Times New Roman"/>
      <w:kern w:val="2"/>
      <w:sz w:val="18"/>
      <w:szCs w:val="18"/>
    </w:rPr>
  </w:style>
  <w:style w:type="character" w:customStyle="1" w:styleId="19">
    <w:name w:val="页脚 Char"/>
    <w:link w:val="7"/>
    <w:qFormat/>
    <w:uiPriority w:val="99"/>
    <w:rPr>
      <w:rFonts w:ascii="Times New Roman" w:hAnsi="Times New Roman" w:eastAsia="宋体" w:cs="Times New Roman"/>
      <w:sz w:val="18"/>
      <w:szCs w:val="18"/>
    </w:rPr>
  </w:style>
  <w:style w:type="character" w:customStyle="1" w:styleId="20">
    <w:name w:val="页眉 Char"/>
    <w:link w:val="8"/>
    <w:qFormat/>
    <w:uiPriority w:val="99"/>
    <w:rPr>
      <w:rFonts w:ascii="Times New Roman" w:hAnsi="Times New Roman" w:eastAsia="宋体" w:cs="Times New Roman"/>
      <w:sz w:val="18"/>
      <w:szCs w:val="18"/>
    </w:rPr>
  </w:style>
  <w:style w:type="character" w:customStyle="1" w:styleId="21">
    <w:name w:val="15"/>
    <w:basedOn w:val="13"/>
    <w:qFormat/>
    <w:uiPriority w:val="0"/>
    <w:rPr>
      <w:rFonts w:hint="default" w:ascii="Times New Roman" w:hAnsi="Times New Roman" w:cs="Times New Roman"/>
    </w:rPr>
  </w:style>
  <w:style w:type="character" w:customStyle="1" w:styleId="22">
    <w:name w:val="标题 2 Char"/>
    <w:link w:val="2"/>
    <w:qFormat/>
    <w:uiPriority w:val="0"/>
    <w:rPr>
      <w:rFonts w:asciiTheme="majorHAnsi" w:hAnsiTheme="majorHAnsi" w:eastAsiaTheme="majorEastAsia" w:cstheme="majorBidi"/>
      <w:b/>
      <w:bCs/>
      <w:sz w:val="32"/>
      <w:szCs w:val="32"/>
    </w:rPr>
  </w:style>
  <w:style w:type="paragraph" w:customStyle="1" w:styleId="23">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12303</Words>
  <Characters>12718</Characters>
  <Lines>42</Lines>
  <Paragraphs>11</Paragraphs>
  <TotalTime>5</TotalTime>
  <ScaleCrop>false</ScaleCrop>
  <LinksUpToDate>false</LinksUpToDate>
  <CharactersWithSpaces>12850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2026-02-09T07:07:00Z</dcterms:created>
  <dc:creator>jz</dc:creator>
  <cp:lastModifiedBy>黄良孟</cp:lastModifiedBy>
  <cp:lastPrinted>2026-02-02T16:49:00Z</cp:lastPrinted>
  <dcterms:modified xsi:type="dcterms:W3CDTF">2026-08-07T09:29:37Z</dcterms:modified>
  <dc:title>浙江省科学技术厅文件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5076DAEB2F661CCF6B6485694A459C4D</vt:lpwstr>
  </property>
  <property fmtid="{D5CDD505-2E9C-101B-9397-08002B2CF9AE}" pid="4" name="KSOTemplateDocerSaveRecord">
    <vt:lpwstr>eyJoZGlkIjoiMWQ1N2IyNGNiNzk0YzFlMTA5YWUxYjMwNmU3ZjZiOTQiLCJ1c2VySWQiOiIyNDA5ODM1NDcifQ==</vt:lpwstr>
  </property>
</Properties>
</file>