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D24BE5">
      <w:pPr>
        <w:bidi w:val="0"/>
        <w:outlineLvl w:val="0"/>
        <w:rPr>
          <w:rFonts w:hint="default" w:ascii="Times New Roman" w:hAnsi="Times New Roman" w:eastAsia="黑体" w:cs="Times New Roman"/>
        </w:rPr>
      </w:pPr>
      <w:r>
        <w:rPr>
          <w:rFonts w:hint="default" w:ascii="Times New Roman" w:hAnsi="Times New Roman" w:eastAsia="黑体" w:cs="Times New Roman"/>
        </w:rPr>
        <w:t>附件1</w:t>
      </w:r>
    </w:p>
    <w:p w14:paraId="15934D89">
      <w:pPr>
        <w:spacing w:before="0" w:after="0" w:line="560" w:lineRule="exact"/>
        <w:jc w:val="both"/>
        <w:rPr>
          <w:rFonts w:hint="default" w:ascii="Times New Roman" w:hAnsi="Times New Roman" w:cs="Times New Roman"/>
        </w:rPr>
      </w:pPr>
    </w:p>
    <w:p w14:paraId="41E89E91">
      <w:pPr>
        <w:spacing w:before="0" w:after="0" w:line="560" w:lineRule="exact"/>
        <w:jc w:val="center"/>
        <w:rPr>
          <w:rFonts w:hint="default" w:ascii="Times New Roman" w:hAnsi="Times New Roman" w:cs="Times New Roman"/>
        </w:rPr>
      </w:pPr>
      <w:r>
        <w:rPr>
          <w:rFonts w:hint="default" w:ascii="Times New Roman" w:hAnsi="Times New Roman" w:eastAsia="方正小标宋简体" w:cs="Times New Roman"/>
          <w:color w:val="000000"/>
          <w:sz w:val="44"/>
        </w:rPr>
        <w:t>第十五届中国创新创业大赛颠覆性技术</w:t>
      </w:r>
    </w:p>
    <w:p w14:paraId="5E6A6C1F">
      <w:pPr>
        <w:spacing w:before="0" w:after="0" w:line="560" w:lineRule="exact"/>
        <w:jc w:val="center"/>
        <w:rPr>
          <w:rFonts w:hint="default" w:ascii="Times New Roman" w:hAnsi="Times New Roman" w:cs="Times New Roman"/>
        </w:rPr>
      </w:pPr>
      <w:r>
        <w:rPr>
          <w:rFonts w:hint="default" w:ascii="Times New Roman" w:hAnsi="Times New Roman" w:eastAsia="方正小标宋简体" w:cs="Times New Roman"/>
          <w:color w:val="000000"/>
          <w:sz w:val="44"/>
        </w:rPr>
        <w:t>创新大赛（</w:t>
      </w:r>
      <w:r>
        <w:rPr>
          <w:rFonts w:hint="default" w:ascii="Times New Roman" w:hAnsi="Times New Roman" w:eastAsia="方正小标宋简体" w:cs="Times New Roman"/>
          <w:color w:val="000000"/>
          <w:sz w:val="44"/>
          <w:lang w:val="en-US" w:eastAsia="zh-CN"/>
        </w:rPr>
        <w:t>未来产业方向</w:t>
      </w:r>
      <w:r>
        <w:rPr>
          <w:rFonts w:hint="default" w:ascii="Times New Roman" w:hAnsi="Times New Roman" w:eastAsia="方正小标宋简体" w:cs="Times New Roman"/>
          <w:color w:val="000000"/>
          <w:sz w:val="44"/>
        </w:rPr>
        <w:t>）组织方案</w:t>
      </w:r>
    </w:p>
    <w:p w14:paraId="3626674C">
      <w:pPr>
        <w:spacing w:before="0" w:after="0" w:line="560" w:lineRule="exact"/>
        <w:jc w:val="both"/>
        <w:rPr>
          <w:rFonts w:hint="default" w:ascii="Times New Roman" w:hAnsi="Times New Roman" w:cs="Times New Roman"/>
        </w:rPr>
      </w:pPr>
    </w:p>
    <w:p w14:paraId="2B79F9C5">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spacing w:val="-11"/>
          <w:sz w:val="32"/>
        </w:rPr>
      </w:pPr>
      <w:r>
        <w:rPr>
          <w:rFonts w:hint="default" w:ascii="Times New Roman" w:hAnsi="Times New Roman" w:eastAsia="仿宋_GB2312" w:cs="Times New Roman"/>
          <w:color w:val="000000"/>
          <w:spacing w:val="-11"/>
          <w:sz w:val="32"/>
        </w:rPr>
        <w:t>根据工业和信息化部火炬中心《关于举办第十五届中国创新创业大赛的通知》（火炬〔2026〕19号）要求，制定第十五届中国创新创业大赛颠覆性技术创新大赛（</w:t>
      </w:r>
      <w:r>
        <w:rPr>
          <w:rFonts w:hint="default" w:ascii="Times New Roman" w:hAnsi="Times New Roman" w:cs="Times New Roman"/>
          <w:color w:val="000000"/>
          <w:spacing w:val="-11"/>
          <w:sz w:val="32"/>
          <w:lang w:val="en-US" w:eastAsia="zh-CN"/>
        </w:rPr>
        <w:t>未来产业方向</w:t>
      </w:r>
      <w:r>
        <w:rPr>
          <w:rFonts w:hint="default" w:ascii="Times New Roman" w:hAnsi="Times New Roman" w:eastAsia="仿宋_GB2312" w:cs="Times New Roman"/>
          <w:color w:val="000000"/>
          <w:spacing w:val="-11"/>
          <w:sz w:val="32"/>
        </w:rPr>
        <w:t>）方案。</w:t>
      </w:r>
    </w:p>
    <w:p w14:paraId="3209C3E9">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黑体" w:cs="Times New Roman"/>
          <w:color w:val="000000"/>
          <w:sz w:val="32"/>
        </w:rPr>
        <w:t>一、指导思想</w:t>
      </w:r>
    </w:p>
    <w:p w14:paraId="43227869">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以习近平新时代中国特色社会主义思想为指导，全面贯彻党的二十大和二十届</w:t>
      </w:r>
      <w:r>
        <w:rPr>
          <w:rFonts w:hint="eastAsia" w:cs="Times New Roman"/>
          <w:color w:val="000000"/>
          <w:sz w:val="32"/>
          <w:lang w:val="en-US" w:eastAsia="zh-CN"/>
        </w:rPr>
        <w:t>历次</w:t>
      </w:r>
      <w:r>
        <w:rPr>
          <w:rFonts w:hint="default" w:ascii="Times New Roman" w:hAnsi="Times New Roman" w:eastAsia="仿宋_GB2312" w:cs="Times New Roman"/>
          <w:color w:val="000000"/>
          <w:sz w:val="32"/>
        </w:rPr>
        <w:t>全会精神，落实《工业和信息化部等七部门关于推动未来产业创新发展的实施意见》（工信部联科〔2024〕12号）有关部署，服务“十五五”时期未来产业前瞻布局和新质生产力发展大局。聚焦具有产业变革潜力的颠覆性技术方向，发掘战略性、前瞻性、创新性项目，搭建创新资源对接平台，深化产学研用协同联动，加快科技成果转化应用，持续增强原始创新能力与产业核心竞争力，助力构建现代化产业体系、扎实推进新型工业化。</w:t>
      </w:r>
    </w:p>
    <w:p w14:paraId="4FED16A6">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黑体" w:cs="Times New Roman"/>
          <w:color w:val="000000"/>
          <w:sz w:val="32"/>
        </w:rPr>
        <w:t>二、赛事总体安排</w:t>
      </w:r>
    </w:p>
    <w:p w14:paraId="67C17125">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cs="Times New Roman"/>
          <w:color w:val="000000"/>
          <w:sz w:val="32"/>
          <w:lang w:val="en-US" w:eastAsia="zh-CN"/>
        </w:rPr>
        <w:t>赛事</w:t>
      </w:r>
      <w:r>
        <w:rPr>
          <w:rFonts w:hint="default" w:ascii="Times New Roman" w:hAnsi="Times New Roman" w:eastAsia="仿宋_GB2312" w:cs="Times New Roman"/>
          <w:color w:val="000000"/>
          <w:sz w:val="32"/>
        </w:rPr>
        <w:t>采用“公开海选”方式，面向社会公开征集具有颠覆性技术苗头的项目参赛，通过层层筛选和项目比拼，优胜项目进入决赛。符合参赛条件的单位统一登录中国创新创业大赛网站（http://www.cxcyds.com）—专业赛事—颠覆性技术创新大赛入口报名参赛。同一参赛单位（大专院校除外）仅可报名1个项目参赛；大专院校报名项目总数量不超过3个。比赛不向参赛单位收取任何费用。</w:t>
      </w:r>
    </w:p>
    <w:p w14:paraId="2B968165">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黑体" w:cs="Times New Roman"/>
          <w:color w:val="000000"/>
          <w:sz w:val="32"/>
        </w:rPr>
        <w:t>三、组织机构</w:t>
      </w:r>
    </w:p>
    <w:p w14:paraId="59F33DFA">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各</w:t>
      </w:r>
      <w:r>
        <w:rPr>
          <w:rFonts w:hint="default" w:ascii="Times New Roman" w:hAnsi="Times New Roman" w:cs="Times New Roman"/>
          <w:color w:val="000000"/>
          <w:sz w:val="32"/>
          <w:lang w:val="en-US" w:eastAsia="zh-CN"/>
        </w:rPr>
        <w:t>赛事</w:t>
      </w:r>
      <w:r>
        <w:rPr>
          <w:rFonts w:hint="default" w:ascii="Times New Roman" w:hAnsi="Times New Roman" w:eastAsia="仿宋_GB2312" w:cs="Times New Roman"/>
          <w:color w:val="000000"/>
          <w:sz w:val="32"/>
        </w:rPr>
        <w:t>主办单位、承办单位详见附件4。</w:t>
      </w:r>
    </w:p>
    <w:p w14:paraId="79C7E58D">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黑体" w:cs="Times New Roman"/>
          <w:color w:val="000000"/>
          <w:sz w:val="32"/>
        </w:rPr>
        <w:t>四、参赛要求</w:t>
      </w:r>
    </w:p>
    <w:p w14:paraId="07748E62">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eastAsia="楷体_GB2312" w:cs="Times New Roman"/>
        </w:rPr>
      </w:pPr>
      <w:r>
        <w:rPr>
          <w:rFonts w:hint="default" w:ascii="Times New Roman" w:hAnsi="Times New Roman" w:eastAsia="楷体_GB2312" w:cs="Times New Roman"/>
          <w:color w:val="000000"/>
          <w:sz w:val="32"/>
        </w:rPr>
        <w:t>（一）参赛单位要求</w:t>
      </w:r>
    </w:p>
    <w:p w14:paraId="4E3AFF24">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参赛单位应是具有独立法人资格的企事业单位等，经营规范、社会信誉良好、无知识产权纠纷，且具有较强的创新能力和一定的项目实施条件。</w:t>
      </w:r>
    </w:p>
    <w:p w14:paraId="004264FB">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eastAsia="楷体_GB2312" w:cs="Times New Roman"/>
        </w:rPr>
      </w:pPr>
      <w:r>
        <w:rPr>
          <w:rFonts w:hint="default" w:ascii="Times New Roman" w:hAnsi="Times New Roman" w:eastAsia="楷体_GB2312" w:cs="Times New Roman"/>
          <w:color w:val="000000"/>
          <w:sz w:val="32"/>
        </w:rPr>
        <w:t>（二）参赛项目要求</w:t>
      </w:r>
    </w:p>
    <w:p w14:paraId="73E9D7CE">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颠覆性技术是“可改变游戏规则”的创新技术，以创新思维为根本，开辟新型技术发展模式，在发展到一定阶段时，将超越原有技术并产生替代，具有另辟蹊径改变技术轨道的演化曲线和颠覆现况的变革性效果。从技术角度看，是以科学技术的新原理、新组合和新应用为基础，开辟全新技术轨道，产生突破性的创新技术；从产业角度看，应与产业结合紧密，通过形成新工艺、新产品或新模式，利用技术创新带动产业升级换代，改变行业主流产品和市场格局，推动相关产业乃至全球经济的革命性、颠覆性进步。大赛聚焦对产业具有颠覆前景的技术项目，参赛单位应清晰阐明其技术突破性、产业变革性等。</w:t>
      </w:r>
    </w:p>
    <w:p w14:paraId="7CE62C83">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黑体" w:cs="Times New Roman"/>
          <w:color w:val="000000"/>
          <w:sz w:val="32"/>
        </w:rPr>
        <w:t>五、技术方向</w:t>
      </w:r>
    </w:p>
    <w:p w14:paraId="69F877BF">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大赛围绕颠覆性技术布局未来制造、未来信息、未来材料、未来能源、未来空间、未来健康六个方向：</w:t>
      </w:r>
    </w:p>
    <w:p w14:paraId="402B6948">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楷体_GB2312" w:cs="Times New Roman"/>
          <w:color w:val="000000"/>
          <w:sz w:val="32"/>
        </w:rPr>
        <w:t>（一）未来制造：</w:t>
      </w:r>
      <w:r>
        <w:rPr>
          <w:rFonts w:hint="default" w:ascii="Times New Roman" w:hAnsi="Times New Roman" w:eastAsia="仿宋_GB2312" w:cs="Times New Roman"/>
          <w:color w:val="000000"/>
          <w:sz w:val="32"/>
        </w:rPr>
        <w:t>智能制造、生物制造、纳米制造、激光制造、循环制造、智能控制、智能传感、模拟仿真、柔性制造、共享制造、工业互联网、工业元宇宙等。</w:t>
      </w:r>
    </w:p>
    <w:p w14:paraId="734EE8EB">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楷体_GB2312" w:cs="Times New Roman"/>
          <w:color w:val="000000"/>
          <w:sz w:val="32"/>
        </w:rPr>
        <w:t>（二）未来信息：</w:t>
      </w:r>
      <w:r>
        <w:rPr>
          <w:rFonts w:hint="default" w:ascii="Times New Roman" w:hAnsi="Times New Roman" w:eastAsia="仿宋_GB2312" w:cs="Times New Roman"/>
          <w:color w:val="000000"/>
          <w:sz w:val="32"/>
        </w:rPr>
        <w:t>下一代移动通信、卫星互联网、量子信息、量子计算技术、光子计算技术、类脑智能、群体智能、大模型等。</w:t>
      </w:r>
    </w:p>
    <w:p w14:paraId="2C4B91FE">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楷体_GB2312" w:cs="Times New Roman"/>
          <w:color w:val="000000"/>
          <w:sz w:val="32"/>
        </w:rPr>
        <w:t>（三）未来材料</w:t>
      </w:r>
      <w:r>
        <w:rPr>
          <w:rFonts w:hint="default" w:ascii="Times New Roman" w:hAnsi="Times New Roman" w:eastAsia="仿宋_GB2312" w:cs="Times New Roman"/>
          <w:color w:val="000000"/>
          <w:sz w:val="32"/>
        </w:rPr>
        <w:t>：（有色金属、化工、无机非金属）先进基础材料升级、高性能碳纤维、先进半导体、超导材料等。</w:t>
      </w:r>
    </w:p>
    <w:p w14:paraId="79C2BACF">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楷体_GB2312" w:cs="Times New Roman"/>
          <w:color w:val="000000"/>
          <w:sz w:val="32"/>
        </w:rPr>
        <w:t>（四）未来能源</w:t>
      </w:r>
      <w:r>
        <w:rPr>
          <w:rFonts w:hint="default" w:ascii="Times New Roman" w:hAnsi="Times New Roman" w:eastAsia="仿宋_GB2312" w:cs="Times New Roman"/>
          <w:color w:val="000000"/>
          <w:sz w:val="32"/>
        </w:rPr>
        <w:t>：核能、核聚变、氢能、生物质能、未来能源装备、高效太阳能电池及相关电子专用设备、新型储能、能源电子等。</w:t>
      </w:r>
    </w:p>
    <w:p w14:paraId="704C506E">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楷体_GB2312" w:cs="Times New Roman"/>
          <w:color w:val="000000"/>
          <w:sz w:val="32"/>
        </w:rPr>
        <w:t>（五）未来空间：</w:t>
      </w:r>
      <w:r>
        <w:rPr>
          <w:rFonts w:hint="default" w:ascii="Times New Roman" w:hAnsi="Times New Roman" w:eastAsia="仿宋_GB2312" w:cs="Times New Roman"/>
          <w:color w:val="000000"/>
          <w:sz w:val="32"/>
        </w:rPr>
        <w:t>载人航天、探月探火、卫星导航、临空无人系统、先进高效航空器、深海潜水器、深海作业装备、深海搜救探测设备、深海智能无人平台、深地资源探采、城市地下空间开发利用、极地探测与作业等。</w:t>
      </w:r>
    </w:p>
    <w:p w14:paraId="4415F726">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楷体_GB2312" w:cs="Times New Roman"/>
          <w:color w:val="000000"/>
          <w:sz w:val="32"/>
        </w:rPr>
        <w:t>（六）未来健康</w:t>
      </w:r>
      <w:r>
        <w:rPr>
          <w:rFonts w:hint="default" w:ascii="Times New Roman" w:hAnsi="Times New Roman" w:eastAsia="仿宋_GB2312" w:cs="Times New Roman"/>
          <w:color w:val="000000"/>
          <w:sz w:val="32"/>
        </w:rPr>
        <w:t>：细胞和基因技术、合成生物、生物育种、新型医疗服务、数字孪生、脑机交互、高端医疗装备和健康用品等。</w:t>
      </w:r>
    </w:p>
    <w:p w14:paraId="0F70BA51">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黑体" w:cs="Times New Roman"/>
          <w:color w:val="000000"/>
          <w:sz w:val="32"/>
        </w:rPr>
        <w:t>六、赛程安排</w:t>
      </w:r>
    </w:p>
    <w:p w14:paraId="4FA59D3F">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楷体_GB2312" w:cs="Times New Roman"/>
          <w:color w:val="000000"/>
          <w:sz w:val="32"/>
        </w:rPr>
        <w:t>（一）自主报名。</w:t>
      </w:r>
      <w:r>
        <w:rPr>
          <w:rFonts w:hint="default" w:ascii="Times New Roman" w:hAnsi="Times New Roman" w:eastAsia="仿宋_GB2312" w:cs="Times New Roman"/>
          <w:color w:val="000000"/>
          <w:sz w:val="32"/>
        </w:rPr>
        <w:t>各参赛单位通过大赛官方网站进行统一注册报名，同时承诺对填报信息的准确、真实、合法、有效性负责。</w:t>
      </w:r>
    </w:p>
    <w:p w14:paraId="45CF386E">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报名截止时间为2026年</w:t>
      </w:r>
      <w:r>
        <w:rPr>
          <w:rFonts w:hint="default" w:ascii="Times New Roman" w:hAnsi="Times New Roman" w:cs="Times New Roman"/>
          <w:color w:val="000000"/>
          <w:sz w:val="32"/>
          <w:lang w:val="en-US" w:eastAsia="zh-CN"/>
        </w:rPr>
        <w:t>10</w:t>
      </w:r>
      <w:r>
        <w:rPr>
          <w:rFonts w:hint="default" w:ascii="Times New Roman" w:hAnsi="Times New Roman" w:eastAsia="仿宋_GB2312" w:cs="Times New Roman"/>
          <w:color w:val="000000"/>
          <w:sz w:val="32"/>
        </w:rPr>
        <w:t>月</w:t>
      </w:r>
      <w:r>
        <w:rPr>
          <w:rFonts w:hint="default" w:ascii="Times New Roman" w:hAnsi="Times New Roman" w:cs="Times New Roman"/>
          <w:color w:val="000000"/>
          <w:sz w:val="32"/>
          <w:lang w:val="en-US" w:eastAsia="zh-CN"/>
        </w:rPr>
        <w:t>1</w:t>
      </w:r>
      <w:r>
        <w:rPr>
          <w:rFonts w:hint="default" w:ascii="Times New Roman" w:hAnsi="Times New Roman" w:eastAsia="仿宋_GB2312" w:cs="Times New Roman"/>
          <w:color w:val="000000"/>
          <w:sz w:val="32"/>
        </w:rPr>
        <w:t>0日。</w:t>
      </w:r>
    </w:p>
    <w:p w14:paraId="292FEE6C">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楷体_GB2312" w:cs="Times New Roman"/>
          <w:color w:val="000000"/>
          <w:sz w:val="32"/>
        </w:rPr>
        <w:t>（二）项目审查和初筛。</w:t>
      </w:r>
      <w:r>
        <w:rPr>
          <w:rFonts w:hint="default" w:ascii="Times New Roman" w:hAnsi="Times New Roman" w:eastAsia="仿宋_GB2312" w:cs="Times New Roman"/>
          <w:color w:val="000000"/>
          <w:sz w:val="32"/>
        </w:rPr>
        <w:t>对报名参赛项目，按照项目合规性审查标准进行审查，再根据项目遴选判断指引进行初步筛选，确定进入</w:t>
      </w:r>
      <w:r>
        <w:rPr>
          <w:rFonts w:hint="default" w:ascii="Times New Roman" w:hAnsi="Times New Roman" w:cs="Times New Roman"/>
          <w:color w:val="000000"/>
          <w:sz w:val="32"/>
          <w:lang w:val="en-US" w:eastAsia="zh-CN"/>
        </w:rPr>
        <w:t>线下答辩</w:t>
      </w:r>
      <w:r>
        <w:rPr>
          <w:rFonts w:hint="default" w:ascii="Times New Roman" w:hAnsi="Times New Roman" w:eastAsia="仿宋_GB2312" w:cs="Times New Roman"/>
          <w:color w:val="000000"/>
          <w:sz w:val="32"/>
        </w:rPr>
        <w:t>项目名单。</w:t>
      </w:r>
    </w:p>
    <w:p w14:paraId="0C111835">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项目初筛时间为2026年10月中旬。</w:t>
      </w:r>
    </w:p>
    <w:p w14:paraId="56BD3F8F">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eastAsia="楷体_GB2312" w:cs="Times New Roman"/>
        </w:rPr>
      </w:pPr>
      <w:r>
        <w:rPr>
          <w:rFonts w:hint="default" w:ascii="Times New Roman" w:hAnsi="Times New Roman" w:eastAsia="楷体_GB2312" w:cs="Times New Roman"/>
          <w:color w:val="000000"/>
          <w:sz w:val="32"/>
        </w:rPr>
        <w:t>（三）比赛说明。</w:t>
      </w:r>
    </w:p>
    <w:p w14:paraId="657ACF98">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1.比赛分组。参赛单位分组并排序，参加评议的评委随机分组组成评议组，项目组与评议组随机匹配。</w:t>
      </w:r>
    </w:p>
    <w:p w14:paraId="198D0555">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2.比赛模式。</w:t>
      </w:r>
      <w:r>
        <w:rPr>
          <w:rFonts w:hint="default" w:ascii="Times New Roman" w:hAnsi="Times New Roman" w:cs="Times New Roman"/>
          <w:color w:val="000000"/>
          <w:sz w:val="32"/>
          <w:lang w:val="en-US" w:eastAsia="zh-CN"/>
        </w:rPr>
        <w:t>大赛</w:t>
      </w:r>
      <w:r>
        <w:rPr>
          <w:rFonts w:hint="default" w:ascii="Times New Roman" w:hAnsi="Times New Roman" w:eastAsia="仿宋_GB2312" w:cs="Times New Roman"/>
          <w:color w:val="000000"/>
          <w:sz w:val="32"/>
        </w:rPr>
        <w:t>采用“12+8”模式封闭式陈述和答辩，参赛选手陈述时间12分钟，评议组问答时间8分钟。</w:t>
      </w:r>
    </w:p>
    <w:p w14:paraId="4D58E999">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3.评议流程。评议流程按初次评议和交叉评议两个环节依次进行。初次评议既对项目技术情况作出颠覆性可能评价，也进行评级；交叉评议对项目技术情况的颠覆性可能做进一步识别。评议结果分为优秀项目和优胜项目，优胜项目择优进入决赛。</w:t>
      </w:r>
    </w:p>
    <w:p w14:paraId="38C88C8A">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eastAsia="仿宋_GB2312" w:cs="Times New Roman"/>
        </w:rPr>
      </w:pPr>
      <w:r>
        <w:rPr>
          <w:rFonts w:hint="default" w:ascii="Times New Roman" w:hAnsi="Times New Roman" w:eastAsia="仿宋_GB2312" w:cs="Times New Roman"/>
          <w:color w:val="000000"/>
          <w:sz w:val="32"/>
        </w:rPr>
        <w:t>4.组织方案。</w:t>
      </w:r>
    </w:p>
    <w:p w14:paraId="1EA8264F">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（1）比赛时间：2026年10月</w:t>
      </w:r>
      <w:r>
        <w:rPr>
          <w:rFonts w:hint="default" w:ascii="Times New Roman" w:hAnsi="Times New Roman" w:cs="Times New Roman"/>
          <w:color w:val="000000"/>
          <w:sz w:val="32"/>
          <w:lang w:val="en-US" w:eastAsia="zh-CN"/>
        </w:rPr>
        <w:t>中下旬</w:t>
      </w:r>
      <w:r>
        <w:rPr>
          <w:rFonts w:hint="default" w:ascii="Times New Roman" w:hAnsi="Times New Roman" w:eastAsia="仿宋_GB2312" w:cs="Times New Roman"/>
          <w:color w:val="000000"/>
          <w:sz w:val="32"/>
        </w:rPr>
        <w:t>（拟）</w:t>
      </w:r>
    </w:p>
    <w:p w14:paraId="3F6F333F">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（2）参赛人员。每个参赛项目选派1-2名代表作为选手参加比赛。其中1名为参赛项目的负责人或研发团队主要人员作为陈述和答辩人，另可选派1名助手。</w:t>
      </w:r>
    </w:p>
    <w:p w14:paraId="2C57E99E">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（3）比赛展示。参赛选手须提供比赛使用的PPT电子版。参赛选手可在比赛中展示产品、样品等相关实物模型。</w:t>
      </w:r>
    </w:p>
    <w:p w14:paraId="30F87FFA">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（4）参赛费用。</w:t>
      </w:r>
      <w:r>
        <w:rPr>
          <w:rFonts w:hint="default" w:ascii="Times New Roman" w:hAnsi="Times New Roman" w:cs="Times New Roman"/>
          <w:color w:val="000000"/>
          <w:sz w:val="32"/>
          <w:lang w:val="en-US" w:eastAsia="zh-CN"/>
        </w:rPr>
        <w:t>大赛</w:t>
      </w:r>
      <w:r>
        <w:rPr>
          <w:rFonts w:hint="default" w:ascii="Times New Roman" w:hAnsi="Times New Roman" w:eastAsia="仿宋_GB2312" w:cs="Times New Roman"/>
          <w:color w:val="000000"/>
          <w:sz w:val="32"/>
        </w:rPr>
        <w:t>不向参赛单位收取任何费用</w:t>
      </w:r>
      <w:r>
        <w:rPr>
          <w:rFonts w:hint="default" w:ascii="Times New Roman" w:hAnsi="Times New Roman" w:cs="Times New Roman"/>
          <w:color w:val="000000"/>
          <w:sz w:val="32"/>
          <w:lang w:eastAsia="zh-CN"/>
        </w:rPr>
        <w:t>，</w:t>
      </w:r>
      <w:r>
        <w:rPr>
          <w:rFonts w:hint="default" w:ascii="Times New Roman" w:hAnsi="Times New Roman" w:eastAsia="仿宋_GB2312" w:cs="Times New Roman"/>
          <w:color w:val="000000"/>
          <w:sz w:val="32"/>
        </w:rPr>
        <w:t>不统一安排食宿，参赛选手差旅费、食宿费自理。</w:t>
      </w:r>
    </w:p>
    <w:p w14:paraId="22990EFD">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黑体" w:cs="Times New Roman"/>
          <w:color w:val="000000"/>
          <w:sz w:val="32"/>
        </w:rPr>
        <w:t>七、服务政策</w:t>
      </w:r>
    </w:p>
    <w:p w14:paraId="2C301C58">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楷体_GB2312" w:cs="Times New Roman"/>
          <w:color w:val="000000"/>
          <w:sz w:val="32"/>
        </w:rPr>
        <w:t>（一）政策支持。</w:t>
      </w:r>
      <w:r>
        <w:rPr>
          <w:rFonts w:hint="default" w:ascii="Times New Roman" w:hAnsi="Times New Roman" w:eastAsia="仿宋_GB2312" w:cs="Times New Roman"/>
          <w:color w:val="000000"/>
          <w:sz w:val="32"/>
        </w:rPr>
        <w:t>择优向国家颠覆性技术创新重点专项推荐优胜项目并争取支持。支持符合条件的参赛企业纳入工业和信息化部优质企业梯度培育体系，在高新技术企业认定、科技型中小企业评价等方面，为参赛企业予以重点指导。</w:t>
      </w:r>
    </w:p>
    <w:p w14:paraId="4517A431">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楷体_GB2312" w:cs="Times New Roman"/>
          <w:color w:val="000000"/>
          <w:sz w:val="32"/>
        </w:rPr>
        <w:t>（二）金融服务。</w:t>
      </w:r>
      <w:r>
        <w:rPr>
          <w:rFonts w:hint="default" w:ascii="Times New Roman" w:hAnsi="Times New Roman" w:eastAsia="仿宋_GB2312" w:cs="Times New Roman"/>
          <w:color w:val="000000"/>
          <w:sz w:val="32"/>
        </w:rPr>
        <w:t>将大赛优胜项目推送至国家产融合作平台，为企业在优惠信贷、发行债券、上市融资等方面创造便利，大赛合作银行择优给予参赛企业贷款授信支持，优胜项目可获得创新积分加分。择优推荐至国家级基金、合作金融机构等进行融资对接。</w:t>
      </w:r>
    </w:p>
    <w:p w14:paraId="2792AD49">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楷体_GB2312" w:cs="Times New Roman"/>
          <w:color w:val="000000"/>
          <w:sz w:val="32"/>
        </w:rPr>
        <w:t>（三）人才服务。</w:t>
      </w:r>
      <w:r>
        <w:rPr>
          <w:rFonts w:hint="default" w:ascii="Times New Roman" w:hAnsi="Times New Roman" w:eastAsia="仿宋_GB2312" w:cs="Times New Roman"/>
          <w:color w:val="000000"/>
          <w:sz w:val="32"/>
        </w:rPr>
        <w:t>联合相关高校为参赛企业举办创新创业优秀人才招聘，推荐参赛企业参加国家高新区科研助理岗招聘活动。</w:t>
      </w:r>
    </w:p>
    <w:p w14:paraId="18A8ECAC">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楷体_GB2312" w:cs="Times New Roman"/>
          <w:color w:val="000000"/>
          <w:sz w:val="32"/>
        </w:rPr>
        <w:t>（四）信息服务。</w:t>
      </w:r>
      <w:r>
        <w:rPr>
          <w:rFonts w:hint="default" w:ascii="Times New Roman" w:hAnsi="Times New Roman" w:eastAsia="仿宋_GB2312" w:cs="Times New Roman"/>
          <w:color w:val="000000"/>
          <w:sz w:val="32"/>
        </w:rPr>
        <w:t>通过“火炬高新优企”“炬交科企会客厅”等系列活动，为参赛企业提供组织管理、人才管理、产品质量提升、安全风险防范等专业咨询和培训，以及专项政策对接、大中小企业融通对接合作、市场资源对接等增值服务。向大型工业企业、科研院所推送优胜项目的成熟产品和技术信息，促进产学研合作。</w:t>
      </w:r>
    </w:p>
    <w:p w14:paraId="092BDBF3">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楷体_GB2312" w:cs="Times New Roman"/>
          <w:color w:val="000000"/>
          <w:sz w:val="32"/>
        </w:rPr>
        <w:t>（五）地方服务。</w:t>
      </w:r>
      <w:r>
        <w:rPr>
          <w:rFonts w:hint="default" w:ascii="Times New Roman" w:hAnsi="Times New Roman" w:eastAsia="仿宋_GB2312" w:cs="Times New Roman"/>
          <w:color w:val="000000"/>
          <w:sz w:val="32"/>
        </w:rPr>
        <w:t>各组织单位全力协调资本、人才、土地等各方资源，集中支持项目落地。常态化组织项目路演对接、未来产业发展交流培训、政策服务等活动，邀请主管部门、行业协会有关负责同志进行指导，为优秀参赛企业提供专项政策宣贯、大企业合作对接、新技术场景应用等增值服务。</w:t>
      </w:r>
      <w:r>
        <w:rPr>
          <w:rFonts w:hint="default" w:ascii="Times New Roman" w:hAnsi="Times New Roman" w:eastAsia="仿宋_GB2312" w:cs="Times New Roman"/>
          <w:b/>
          <w:bCs/>
          <w:color w:val="000000"/>
          <w:sz w:val="32"/>
        </w:rPr>
        <w:t>（※具体政策需咨询大赛承办地）</w:t>
      </w:r>
    </w:p>
    <w:p w14:paraId="5BF3A2A2">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eastAsia="仿宋_GB2312" w:cs="Times New Roman"/>
          <w:color w:val="000000"/>
          <w:sz w:val="32"/>
        </w:rPr>
      </w:pPr>
      <w:r>
        <w:rPr>
          <w:rFonts w:hint="default" w:ascii="Times New Roman" w:hAnsi="Times New Roman" w:eastAsia="楷体_GB2312" w:cs="Times New Roman"/>
          <w:color w:val="000000"/>
          <w:sz w:val="32"/>
        </w:rPr>
        <w:t>（六）宣传展示。</w:t>
      </w:r>
      <w:r>
        <w:rPr>
          <w:rFonts w:hint="default" w:ascii="Times New Roman" w:hAnsi="Times New Roman" w:eastAsia="仿宋_GB2312" w:cs="Times New Roman"/>
          <w:color w:val="000000"/>
          <w:sz w:val="32"/>
        </w:rPr>
        <w:t>通过中国创新创业大赛官网、大赛合作媒体渠道、大赛附属论坛、展览、培训等活动，对赛事和有意愿的项目进行宣传展示。</w:t>
      </w:r>
    </w:p>
    <w:p w14:paraId="7AE6870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E8410E2"/>
    <w:rsid w:val="33DD72BA"/>
    <w:rsid w:val="3BE3105A"/>
    <w:rsid w:val="6F88541A"/>
    <w:rsid w:val="72CA05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jc w:val="both"/>
    </w:pPr>
    <w:rPr>
      <w:rFonts w:ascii="Times New Roman" w:hAnsi="Times New Roman" w:eastAsia="仿宋_GB2312" w:cs="Times New Roman"/>
      <w:kern w:val="2"/>
      <w:sz w:val="32"/>
      <w:szCs w:val="24"/>
      <w:lang w:val="en-US" w:eastAsia="zh-CN" w:bidi="ar-SA"/>
    </w:rPr>
  </w:style>
  <w:style w:type="paragraph" w:styleId="2">
    <w:name w:val="heading 3"/>
    <w:basedOn w:val="1"/>
    <w:next w:val="1"/>
    <w:semiHidden/>
    <w:unhideWhenUsed/>
    <w:qFormat/>
    <w:uiPriority w:val="0"/>
    <w:pPr>
      <w:keepNext/>
      <w:keepLines/>
      <w:spacing w:before="260" w:after="260" w:line="416" w:lineRule="auto"/>
      <w:ind w:leftChars="100"/>
      <w:outlineLvl w:val="2"/>
    </w:pPr>
    <w:rPr>
      <w:rFonts w:ascii="Times New Roman" w:hAnsi="Times New Roman" w:eastAsia="楷体" w:cs="Times New Roman"/>
      <w:bCs/>
      <w:sz w:val="32"/>
      <w:szCs w:val="32"/>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1984</Words>
  <Characters>2039</Characters>
  <Lines>0</Lines>
  <Paragraphs>0</Paragraphs>
  <TotalTime>0</TotalTime>
  <ScaleCrop>false</ScaleCrop>
  <LinksUpToDate>false</LinksUpToDate>
  <CharactersWithSpaces>2039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2026-01-08T01:53:00Z</dcterms:created>
  <dc:creator>zhc</dc:creator>
  <cp:lastModifiedBy>If you</cp:lastModifiedBy>
  <dcterms:modified xsi:type="dcterms:W3CDTF">2026-09-08T02:42:33Z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4BE5FFF584E841C8989DD1E0A50022C4_12</vt:lpwstr>
  </property>
  <property fmtid="{D5CDD505-2E9C-101B-9397-08002B2CF9AE}" pid="4" name="KSOTemplateDocerSaveRecord">
    <vt:lpwstr>eyJoZGlkIjoiZTNjNWI2OGNmNmJjMzUyOWZkYzAxNTlhNjkzNmVhYjgiLCJ1c2VySWQiOiIxNjczODY3MjM3In0=</vt:lpwstr>
  </property>
</Properties>
</file>