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797D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jc w:val="left"/>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附件</w:t>
      </w:r>
    </w:p>
    <w:p w14:paraId="7F7EDF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val="0"/>
          <w:bCs/>
          <w:color w:val="000000"/>
          <w:sz w:val="44"/>
          <w:szCs w:val="44"/>
          <w:lang w:eastAsia="zh-CN"/>
        </w:rPr>
      </w:pPr>
    </w:p>
    <w:p w14:paraId="1741EB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val="0"/>
          <w:bCs/>
          <w:color w:val="000000"/>
          <w:sz w:val="44"/>
          <w:szCs w:val="44"/>
          <w:lang w:eastAsia="zh-CN"/>
        </w:rPr>
      </w:pPr>
      <w:bookmarkStart w:id="6" w:name="_GoBack"/>
      <w:r>
        <w:rPr>
          <w:rFonts w:hint="eastAsia" w:ascii="方正小标宋简体" w:hAnsi="方正小标宋简体" w:eastAsia="方正小标宋简体" w:cs="方正小标宋简体"/>
          <w:b w:val="0"/>
          <w:bCs/>
          <w:color w:val="000000"/>
          <w:sz w:val="44"/>
          <w:szCs w:val="44"/>
          <w:lang w:eastAsia="zh-CN"/>
        </w:rPr>
        <w:t>舟山市</w:t>
      </w:r>
      <w:r>
        <w:rPr>
          <w:rFonts w:hint="eastAsia" w:ascii="方正小标宋简体" w:hAnsi="方正小标宋简体" w:eastAsia="方正小标宋简体" w:cs="方正小标宋简体"/>
          <w:b w:val="0"/>
          <w:bCs/>
          <w:color w:val="000000"/>
          <w:sz w:val="44"/>
          <w:szCs w:val="44"/>
        </w:rPr>
        <w:t>新材料产业</w:t>
      </w:r>
      <w:r>
        <w:rPr>
          <w:rFonts w:hint="eastAsia" w:ascii="方正小标宋简体" w:hAnsi="方正小标宋简体" w:eastAsia="方正小标宋简体" w:cs="方正小标宋简体"/>
          <w:b w:val="0"/>
          <w:bCs/>
          <w:color w:val="000000"/>
          <w:sz w:val="44"/>
          <w:szCs w:val="44"/>
          <w:lang w:eastAsia="zh-CN"/>
        </w:rPr>
        <w:t>攻坚行动方案</w:t>
      </w:r>
      <w:bookmarkEnd w:id="6"/>
    </w:p>
    <w:p w14:paraId="34777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eastAsia="zh-CN"/>
        </w:rPr>
        <w:t>（</w:t>
      </w:r>
      <w:r>
        <w:rPr>
          <w:rFonts w:hint="eastAsia" w:ascii="方正小标宋简体" w:hAnsi="方正小标宋简体" w:eastAsia="方正小标宋简体" w:cs="方正小标宋简体"/>
          <w:b w:val="0"/>
          <w:bCs/>
          <w:color w:val="000000"/>
          <w:sz w:val="44"/>
          <w:szCs w:val="44"/>
          <w:lang w:val="en-US" w:eastAsia="zh-CN"/>
        </w:rPr>
        <w:t>2026-2028年</w:t>
      </w:r>
      <w:r>
        <w:rPr>
          <w:rFonts w:hint="eastAsia" w:ascii="方正小标宋简体" w:hAnsi="方正小标宋简体" w:eastAsia="方正小标宋简体" w:cs="方正小标宋简体"/>
          <w:b w:val="0"/>
          <w:bCs/>
          <w:color w:val="000000"/>
          <w:sz w:val="44"/>
          <w:szCs w:val="44"/>
          <w:lang w:eastAsia="zh-CN"/>
        </w:rPr>
        <w:t>）</w:t>
      </w:r>
    </w:p>
    <w:p w14:paraId="4EC7E71A">
      <w:pPr>
        <w:keepNext w:val="0"/>
        <w:keepLines w:val="0"/>
        <w:pageBreakBefore w:val="0"/>
        <w:widowControl w:val="0"/>
        <w:kinsoku/>
        <w:wordWrap/>
        <w:overflowPunct/>
        <w:topLinePunct w:val="0"/>
        <w:autoSpaceDE/>
        <w:autoSpaceDN/>
        <w:bidi w:val="0"/>
        <w:adjustRightInd/>
        <w:snapToGrid/>
        <w:spacing w:afterAutospacing="0" w:line="560" w:lineRule="exact"/>
        <w:ind w:left="0" w:leftChars="0"/>
        <w:jc w:val="center"/>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（征求意见稿）</w:t>
      </w:r>
    </w:p>
    <w:p w14:paraId="647368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eastAsia" w:ascii="仿宋_GB2312" w:hAnsi="仿宋_GB2312" w:eastAsia="仿宋_GB2312" w:cs="仿宋_GB2312"/>
          <w:color w:val="000000"/>
          <w:kern w:val="0"/>
          <w:sz w:val="32"/>
          <w:szCs w:val="32"/>
          <w:lang w:val="en-US" w:eastAsia="zh-CN" w:bidi="ar"/>
        </w:rPr>
      </w:pPr>
    </w:p>
    <w:p w14:paraId="7FF6B28F">
      <w:pPr>
        <w:keepNext w:val="0"/>
        <w:keepLines w:val="0"/>
        <w:pageBreakBefore w:val="0"/>
        <w:numPr>
          <w:ilvl w:val="0"/>
          <w:numId w:val="0"/>
        </w:numPr>
        <w:kinsoku/>
        <w:wordWrap/>
        <w:overflowPunct/>
        <w:topLinePunct w:val="0"/>
        <w:autoSpaceDE/>
        <w:autoSpaceDN/>
        <w:bidi w:val="0"/>
        <w:adjustRightInd/>
        <w:snapToGrid/>
        <w:spacing w:afterAutospacing="0" w:line="560" w:lineRule="exact"/>
        <w:ind w:leftChars="0" w:firstLine="64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围绕构建海洋特色现代化产业体系目标，立足舟山大宗商品枢纽和产业基础优势，聚焦石化新材料、金属新材料及加工两大板块，</w:t>
      </w:r>
      <w:r>
        <w:rPr>
          <w:rFonts w:hint="eastAsia" w:ascii="仿宋_GB2312" w:hAnsi="仿宋_GB2312" w:eastAsia="仿宋_GB2312" w:cs="仿宋_GB2312"/>
          <w:color w:val="000000"/>
          <w:sz w:val="32"/>
          <w:szCs w:val="32"/>
          <w:lang w:val="en-US" w:eastAsia="zh-CN"/>
        </w:rPr>
        <w:t>以共建共性科创平台建设、引育龙头企业、攻坚重大项目为抓手，</w:t>
      </w:r>
      <w:r>
        <w:rPr>
          <w:rFonts w:hint="eastAsia" w:ascii="仿宋_GB2312" w:hAnsi="仿宋_GB2312" w:eastAsia="仿宋_GB2312" w:cs="仿宋_GB2312"/>
          <w:color w:val="000000"/>
          <w:kern w:val="2"/>
          <w:sz w:val="32"/>
          <w:szCs w:val="32"/>
          <w:lang w:val="en-US" w:eastAsia="zh-CN" w:bidi="ar-SA"/>
        </w:rPr>
        <w:t>加快打造具有区域竞争力的新材料产业集群。</w:t>
      </w:r>
    </w:p>
    <w:p w14:paraId="75235563">
      <w:pPr>
        <w:keepNext w:val="0"/>
        <w:keepLines w:val="0"/>
        <w:pageBreakBefore w:val="0"/>
        <w:numPr>
          <w:ilvl w:val="0"/>
          <w:numId w:val="0"/>
        </w:numPr>
        <w:kinsoku/>
        <w:wordWrap/>
        <w:overflowPunct/>
        <w:topLinePunct w:val="0"/>
        <w:autoSpaceDE/>
        <w:autoSpaceDN/>
        <w:bidi w:val="0"/>
        <w:adjustRightInd/>
        <w:snapToGrid/>
        <w:spacing w:afterAutospacing="0" w:line="560" w:lineRule="exact"/>
        <w:ind w:leftChars="0" w:firstLine="64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一</w:t>
      </w:r>
      <w:r>
        <w:rPr>
          <w:rFonts w:hint="eastAsia" w:ascii="黑体" w:hAnsi="黑体" w:eastAsia="黑体" w:cs="黑体"/>
          <w:color w:val="000000"/>
          <w:sz w:val="32"/>
          <w:szCs w:val="32"/>
        </w:rPr>
        <w:t>、</w:t>
      </w:r>
      <w:r>
        <w:rPr>
          <w:rFonts w:hint="eastAsia" w:ascii="黑体" w:hAnsi="黑体" w:eastAsia="黑体" w:cs="黑体"/>
          <w:color w:val="000000"/>
          <w:sz w:val="32"/>
          <w:szCs w:val="32"/>
          <w:lang w:eastAsia="zh-CN"/>
        </w:rPr>
        <w:t>总体</w:t>
      </w:r>
      <w:r>
        <w:rPr>
          <w:rFonts w:hint="eastAsia" w:ascii="黑体" w:hAnsi="黑体" w:eastAsia="黑体" w:cs="黑体"/>
          <w:color w:val="000000"/>
          <w:sz w:val="32"/>
          <w:szCs w:val="32"/>
        </w:rPr>
        <w:t>发展</w:t>
      </w:r>
      <w:r>
        <w:rPr>
          <w:rFonts w:hint="eastAsia" w:ascii="黑体" w:hAnsi="黑体" w:eastAsia="黑体" w:cs="黑体"/>
          <w:color w:val="000000"/>
          <w:sz w:val="32"/>
          <w:szCs w:val="32"/>
          <w:lang w:eastAsia="zh-CN"/>
        </w:rPr>
        <w:t>目标</w:t>
      </w:r>
    </w:p>
    <w:p w14:paraId="5FE5958F">
      <w:pPr>
        <w:keepNext w:val="0"/>
        <w:keepLines w:val="0"/>
        <w:pageBreakBefore w:val="0"/>
        <w:numPr>
          <w:ilvl w:val="0"/>
          <w:numId w:val="0"/>
        </w:numPr>
        <w:kinsoku/>
        <w:wordWrap/>
        <w:overflowPunct/>
        <w:topLinePunct w:val="0"/>
        <w:autoSpaceDE/>
        <w:autoSpaceDN/>
        <w:bidi w:val="0"/>
        <w:adjustRightInd/>
        <w:snapToGrid/>
        <w:spacing w:afterAutospacing="0" w:line="560" w:lineRule="exact"/>
        <w:ind w:leftChars="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到202</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eastAsia="zh-CN"/>
        </w:rPr>
        <w:t>年底，全市</w:t>
      </w:r>
      <w:r>
        <w:rPr>
          <w:rFonts w:hint="eastAsia" w:ascii="仿宋_GB2312" w:hAnsi="仿宋_GB2312" w:eastAsia="仿宋_GB2312" w:cs="仿宋_GB2312"/>
          <w:color w:val="000000"/>
          <w:sz w:val="32"/>
          <w:szCs w:val="32"/>
          <w:lang w:val="en-US" w:eastAsia="zh-CN"/>
        </w:rPr>
        <w:t>新材料产业产值突破3800亿元，其中</w:t>
      </w:r>
      <w:r>
        <w:rPr>
          <w:rFonts w:hint="eastAsia" w:ascii="仿宋_GB2312" w:hAnsi="仿宋_GB2312" w:eastAsia="仿宋_GB2312" w:cs="仿宋_GB2312"/>
          <w:color w:val="000000"/>
          <w:sz w:val="32"/>
          <w:szCs w:val="32"/>
          <w:u w:val="none"/>
          <w:lang w:val="en-US" w:eastAsia="zh-CN"/>
        </w:rPr>
        <w:t>石化新材料3500亿元、金属新材料及加工300亿元；</w:t>
      </w:r>
      <w:r>
        <w:rPr>
          <w:rFonts w:hint="eastAsia" w:ascii="仿宋_GB2312" w:hAnsi="仿宋_GB2312" w:eastAsia="仿宋_GB2312" w:cs="仿宋_GB2312"/>
          <w:color w:val="000000"/>
          <w:sz w:val="32"/>
          <w:szCs w:val="32"/>
          <w:lang w:eastAsia="zh-CN"/>
        </w:rPr>
        <w:t>累计招引落地产业项目</w:t>
      </w:r>
      <w:r>
        <w:rPr>
          <w:rFonts w:hint="eastAsia" w:ascii="仿宋_GB2312" w:hAnsi="仿宋_GB2312" w:eastAsia="仿宋_GB2312" w:cs="仿宋_GB2312"/>
          <w:color w:val="000000"/>
          <w:sz w:val="32"/>
          <w:szCs w:val="32"/>
          <w:lang w:val="en-US" w:eastAsia="zh-CN"/>
        </w:rPr>
        <w:t>30个以上，新增专精特新企业20家以上，高新技术企业、科技型中小企业25家以上；在石化新材料、金属新材料领域突破一批产业关键和共性技术。</w:t>
      </w:r>
    </w:p>
    <w:p w14:paraId="1958074B">
      <w:pPr>
        <w:keepNext w:val="0"/>
        <w:keepLines w:val="0"/>
        <w:pageBreakBefore w:val="0"/>
        <w:numPr>
          <w:ilvl w:val="0"/>
          <w:numId w:val="0"/>
        </w:numPr>
        <w:kinsoku/>
        <w:wordWrap/>
        <w:overflowPunct/>
        <w:topLinePunct w:val="0"/>
        <w:autoSpaceDE/>
        <w:autoSpaceDN/>
        <w:bidi w:val="0"/>
        <w:adjustRightInd/>
        <w:snapToGrid/>
        <w:spacing w:afterAutospacing="0" w:line="560" w:lineRule="exact"/>
        <w:ind w:leftChars="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 xml:space="preserve">    二、</w:t>
      </w:r>
      <w:r>
        <w:rPr>
          <w:rFonts w:hint="eastAsia" w:ascii="黑体" w:hAnsi="黑体" w:eastAsia="黑体" w:cs="黑体"/>
          <w:color w:val="000000"/>
          <w:sz w:val="32"/>
          <w:szCs w:val="32"/>
          <w:lang w:eastAsia="zh-CN"/>
        </w:rPr>
        <w:t>产业攻坚方向</w:t>
      </w:r>
    </w:p>
    <w:p w14:paraId="7CC1FA4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楷体_GB2312" w:hAnsi="楷体_GB2312" w:eastAsia="楷体_GB2312" w:cs="楷体_GB2312"/>
          <w:b/>
          <w:bCs/>
          <w:color w:val="000000"/>
          <w:sz w:val="32"/>
          <w:szCs w:val="32"/>
          <w:lang w:val="en-US" w:eastAsia="zh-CN"/>
        </w:rPr>
        <w:t>（一）石化新材料。</w:t>
      </w:r>
      <w:r>
        <w:rPr>
          <w:rFonts w:hint="eastAsia" w:ascii="仿宋_GB2312" w:hAnsi="仿宋_GB2312" w:eastAsia="仿宋_GB2312" w:cs="仿宋_GB2312"/>
          <w:color w:val="000000"/>
          <w:sz w:val="32"/>
          <w:szCs w:val="32"/>
          <w:lang w:val="en-US" w:eastAsia="zh-CN"/>
        </w:rPr>
        <w:t>依托浙石化龙头炼化产能，持续推动产业“油头延尾、向新向高”发展。</w:t>
      </w:r>
    </w:p>
    <w:p w14:paraId="687A9D50">
      <w:pPr>
        <w:pStyle w:val="11"/>
        <w:keepNext w:val="0"/>
        <w:keepLines w:val="0"/>
        <w:pageBreakBefore w:val="0"/>
        <w:kinsoku/>
        <w:overflowPunct/>
        <w:topLinePunct w:val="0"/>
        <w:autoSpaceDE/>
        <w:autoSpaceDN/>
        <w:bidi w:val="0"/>
        <w:adjustRightInd/>
        <w:snapToGrid/>
        <w:spacing w:line="560" w:lineRule="exact"/>
        <w:ind w:left="0" w:leftChars="0" w:firstLine="642" w:firstLineChars="0"/>
        <w:textAlignment w:val="auto"/>
        <w:rPr>
          <w:rFonts w:hint="eastAsia" w:ascii="仿宋_GB2312" w:hAnsi="仿宋_GB2312" w:eastAsia="仿宋_GB2312" w:cs="仿宋_GB2312"/>
          <w:b w:val="0"/>
          <w:bCs w:val="0"/>
          <w:color w:val="000000"/>
          <w:sz w:val="32"/>
          <w:szCs w:val="32"/>
          <w:lang w:val="en-US" w:eastAsia="zh-CN"/>
        </w:rPr>
      </w:pPr>
      <w:r>
        <w:rPr>
          <w:rFonts w:hint="eastAsia" w:ascii="楷体_GB2312" w:hAnsi="楷体_GB2312" w:eastAsia="楷体_GB2312" w:cs="楷体_GB2312"/>
          <w:b/>
          <w:bCs/>
          <w:color w:val="000000"/>
          <w:sz w:val="32"/>
          <w:szCs w:val="32"/>
          <w:lang w:val="en-US" w:eastAsia="zh-CN"/>
        </w:rPr>
        <w:t>1.高端功能膜材料产业链。</w:t>
      </w:r>
      <w:r>
        <w:rPr>
          <w:rFonts w:hint="eastAsia" w:ascii="仿宋_GB2312" w:hAnsi="仿宋_GB2312" w:eastAsia="仿宋_GB2312" w:cs="仿宋_GB2312"/>
          <w:b w:val="0"/>
          <w:bCs w:val="0"/>
          <w:color w:val="000000"/>
          <w:sz w:val="32"/>
          <w:szCs w:val="32"/>
          <w:lang w:val="en-US" w:eastAsia="zh-CN"/>
        </w:rPr>
        <w:t>以聚酰亚胺材料为核心，打通“单体-浆料-薄膜”全产业链，推动形成规模化产业集群。以此为突破口，拓展发展电子行业光学薄膜、新能源领域光伏胶膜、环保板块水处理及气体分离膜三大应用方向，构建覆盖新能源汽车、储能系统、光伏组件、新型显示等全场景的膜材料体系。</w:t>
      </w:r>
    </w:p>
    <w:p w14:paraId="55106546">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sz w:val="32"/>
          <w:szCs w:val="32"/>
          <w:lang w:val="en-US" w:eastAsia="zh-CN"/>
        </w:rPr>
      </w:pPr>
      <w:r>
        <w:rPr>
          <w:rFonts w:hint="eastAsia" w:ascii="楷体_GB2312" w:hAnsi="楷体_GB2312" w:eastAsia="楷体_GB2312" w:cs="楷体_GB2312"/>
          <w:b/>
          <w:bCs/>
          <w:color w:val="000000"/>
          <w:sz w:val="32"/>
          <w:szCs w:val="32"/>
          <w:lang w:val="en-US" w:eastAsia="zh-CN"/>
        </w:rPr>
        <w:t xml:space="preserve">    2.新能源电池产业链。</w:t>
      </w:r>
      <w:r>
        <w:rPr>
          <w:rFonts w:hint="eastAsia" w:ascii="仿宋_GB2312" w:hAnsi="仿宋_GB2312" w:eastAsia="仿宋_GB2312" w:cs="仿宋_GB2312"/>
          <w:b w:val="0"/>
          <w:bCs w:val="0"/>
          <w:color w:val="000000"/>
          <w:sz w:val="32"/>
          <w:szCs w:val="32"/>
          <w:u w:val="none"/>
          <w:lang w:val="en-US" w:eastAsia="zh-CN"/>
        </w:rPr>
        <w:t>以现有产业项目为触发点，延伸发展锂电池隔膜、燃料电池质子交换膜，打造“硅烷特气-负极材料-固态电池”产业链条。</w:t>
      </w:r>
      <w:r>
        <w:rPr>
          <w:rFonts w:hint="default" w:ascii="仿宋_GB2312" w:hAnsi="仿宋_GB2312" w:eastAsia="仿宋_GB2312" w:cs="仿宋_GB2312"/>
          <w:b w:val="0"/>
          <w:bCs w:val="0"/>
          <w:color w:val="000000"/>
          <w:sz w:val="32"/>
          <w:szCs w:val="32"/>
          <w:lang w:val="en-US" w:eastAsia="zh-CN"/>
        </w:rPr>
        <w:t>构建覆盖液态锂电池、燃料电池</w:t>
      </w:r>
      <w:r>
        <w:rPr>
          <w:rFonts w:hint="eastAsia" w:ascii="仿宋_GB2312" w:hAnsi="仿宋_GB2312" w:eastAsia="仿宋_GB2312" w:cs="仿宋_GB2312"/>
          <w:b w:val="0"/>
          <w:bCs w:val="0"/>
          <w:color w:val="000000"/>
          <w:sz w:val="32"/>
          <w:szCs w:val="32"/>
          <w:lang w:val="en-US" w:eastAsia="zh-CN"/>
        </w:rPr>
        <w:t>、</w:t>
      </w:r>
      <w:r>
        <w:rPr>
          <w:rFonts w:hint="default" w:ascii="仿宋_GB2312" w:hAnsi="仿宋_GB2312" w:eastAsia="仿宋_GB2312" w:cs="仿宋_GB2312"/>
          <w:b w:val="0"/>
          <w:bCs w:val="0"/>
          <w:color w:val="000000"/>
          <w:sz w:val="32"/>
          <w:szCs w:val="32"/>
          <w:lang w:val="en-US" w:eastAsia="zh-CN"/>
        </w:rPr>
        <w:t>固态电池的新能源材料产业格局，推动产品在新能源汽车、储能领域实现规模化应用。</w:t>
      </w:r>
    </w:p>
    <w:p w14:paraId="1E3245FF">
      <w:pPr>
        <w:pStyle w:val="2"/>
        <w:keepNext w:val="0"/>
        <w:keepLines w:val="0"/>
        <w:pageBreakBefore w:val="0"/>
        <w:kinsoku/>
        <w:overflowPunct/>
        <w:topLinePunct w:val="0"/>
        <w:autoSpaceDE/>
        <w:autoSpaceDN/>
        <w:bidi w:val="0"/>
        <w:adjustRightInd/>
        <w:snapToGrid/>
        <w:spacing w:line="560" w:lineRule="exact"/>
        <w:textAlignment w:val="auto"/>
        <w:rPr>
          <w:rFonts w:hint="default"/>
          <w:u w:val="single"/>
          <w:lang w:val="en-US" w:eastAsia="zh-CN"/>
        </w:rPr>
      </w:pPr>
      <w:r>
        <w:rPr>
          <w:rFonts w:hint="eastAsia" w:ascii="楷体_GB2312" w:hAnsi="楷体_GB2312" w:eastAsia="楷体_GB2312" w:cs="楷体_GB2312"/>
          <w:b/>
          <w:bCs/>
          <w:color w:val="000000"/>
          <w:sz w:val="32"/>
          <w:szCs w:val="32"/>
          <w:lang w:val="en-US" w:eastAsia="zh-CN"/>
        </w:rPr>
        <w:t xml:space="preserve">    3</w:t>
      </w:r>
      <w:r>
        <w:rPr>
          <w:rFonts w:hint="default" w:ascii="楷体_GB2312" w:hAnsi="楷体_GB2312" w:eastAsia="楷体_GB2312" w:cs="楷体_GB2312"/>
          <w:b/>
          <w:bCs/>
          <w:color w:val="000000"/>
          <w:sz w:val="32"/>
          <w:szCs w:val="32"/>
          <w:lang w:val="en" w:eastAsia="zh-CN"/>
        </w:rPr>
        <w:t>.</w:t>
      </w:r>
      <w:r>
        <w:rPr>
          <w:rFonts w:hint="eastAsia" w:ascii="楷体_GB2312" w:hAnsi="楷体_GB2312" w:eastAsia="楷体_GB2312" w:cs="楷体_GB2312"/>
          <w:b/>
          <w:bCs/>
          <w:color w:val="000000"/>
          <w:sz w:val="32"/>
          <w:szCs w:val="32"/>
          <w:lang w:val="en-US" w:eastAsia="zh-CN"/>
        </w:rPr>
        <w:t>高性能纤维产业链。</w:t>
      </w:r>
      <w:r>
        <w:rPr>
          <w:rFonts w:hint="eastAsia" w:ascii="仿宋_GB2312" w:hAnsi="仿宋_GB2312" w:eastAsia="仿宋_GB2312" w:cs="仿宋_GB2312"/>
          <w:b w:val="0"/>
          <w:bCs w:val="0"/>
          <w:color w:val="000000"/>
          <w:kern w:val="2"/>
          <w:sz w:val="32"/>
          <w:szCs w:val="32"/>
          <w:lang w:val="en-US" w:eastAsia="zh-CN" w:bidi="ar-SA"/>
        </w:rPr>
        <w:t>依托已落地的高性能芳纶纤维项目，加快形成芳纶纤维规模化生产能力；结合本地聚酰亚胺相关项目，向下游延伸发展聚酰亚胺（PI）纤维、聚苯硫醚（PPS）纤维等高性能纤维；</w:t>
      </w:r>
      <w:r>
        <w:rPr>
          <w:rFonts w:hint="eastAsia" w:ascii="仿宋_GB2312" w:hAnsi="仿宋_GB2312" w:eastAsia="仿宋_GB2312" w:cs="仿宋_GB2312"/>
          <w:b w:val="0"/>
          <w:bCs w:val="0"/>
          <w:color w:val="000000"/>
          <w:kern w:val="2"/>
          <w:sz w:val="32"/>
          <w:szCs w:val="32"/>
          <w:u w:val="none"/>
          <w:lang w:val="en-US" w:eastAsia="zh-CN" w:bidi="ar-SA"/>
        </w:rPr>
        <w:t>充分发挥浙石化丙烯腈原料优势，配套环氧树脂基体，延伸发展聚丙烯腈（PAN）基碳纤维及碳纤维复合材料。</w:t>
      </w:r>
    </w:p>
    <w:p w14:paraId="3EDF7636">
      <w:pPr>
        <w:pStyle w:val="2"/>
        <w:keepNext w:val="0"/>
        <w:keepLines w:val="0"/>
        <w:pageBreakBefore w:val="0"/>
        <w:kinsoku/>
        <w:overflowPunct/>
        <w:topLinePunct w:val="0"/>
        <w:autoSpaceDE/>
        <w:autoSpaceDN/>
        <w:bidi w:val="0"/>
        <w:adjustRightInd/>
        <w:snapToGrid/>
        <w:spacing w:line="560" w:lineRule="exact"/>
        <w:ind w:firstLine="642"/>
        <w:textAlignment w:val="auto"/>
        <w:rPr>
          <w:rFonts w:hint="eastAsia"/>
          <w:lang w:val="en-US" w:eastAsia="zh-CN"/>
        </w:rPr>
      </w:pPr>
      <w:r>
        <w:rPr>
          <w:rFonts w:hint="eastAsia" w:ascii="楷体_GB2312" w:hAnsi="楷体_GB2312" w:eastAsia="楷体_GB2312" w:cs="楷体_GB2312"/>
          <w:b/>
          <w:bCs/>
          <w:color w:val="000000"/>
          <w:sz w:val="32"/>
          <w:szCs w:val="32"/>
          <w:lang w:val="en-US" w:eastAsia="zh-CN"/>
        </w:rPr>
        <w:t>4.工程塑料产业链。</w:t>
      </w:r>
      <w:r>
        <w:rPr>
          <w:rFonts w:hint="eastAsia" w:ascii="仿宋_GB2312" w:hAnsi="仿宋_GB2312" w:eastAsia="仿宋_GB2312" w:cs="仿宋_GB2312"/>
          <w:b w:val="0"/>
          <w:bCs w:val="0"/>
          <w:color w:val="000000"/>
          <w:kern w:val="2"/>
          <w:sz w:val="32"/>
          <w:szCs w:val="32"/>
          <w:lang w:val="en-US" w:eastAsia="zh-CN" w:bidi="ar-SA"/>
        </w:rPr>
        <w:t>立足原料优势，布局聚碳酸酯(PC)</w:t>
      </w:r>
      <w:r>
        <w:rPr>
          <w:rFonts w:hint="default" w:ascii="仿宋_GB2312" w:hAnsi="仿宋_GB2312" w:eastAsia="仿宋_GB2312" w:cs="仿宋_GB2312"/>
          <w:b w:val="0"/>
          <w:bCs w:val="0"/>
          <w:color w:val="000000"/>
          <w:kern w:val="2"/>
          <w:sz w:val="32"/>
          <w:szCs w:val="32"/>
          <w:lang w:val="en" w:eastAsia="zh-CN" w:bidi="ar-SA"/>
        </w:rPr>
        <w:t>、聚酰胺（PA）</w:t>
      </w:r>
      <w:r>
        <w:rPr>
          <w:rFonts w:hint="eastAsia" w:ascii="仿宋_GB2312" w:hAnsi="仿宋_GB2312" w:eastAsia="仿宋_GB2312" w:cs="仿宋_GB2312"/>
          <w:b w:val="0"/>
          <w:bCs w:val="0"/>
          <w:color w:val="000000"/>
          <w:kern w:val="2"/>
          <w:sz w:val="32"/>
          <w:szCs w:val="32"/>
          <w:lang w:val="en-US" w:eastAsia="zh-CN" w:bidi="ar-SA"/>
        </w:rPr>
        <w:t>等通用工程塑料，满足海洋装备、汽车工业、电子电气等领域需求；面向人形机器人、航空航天、半导体等前沿领域，发展聚砜（PSU）、高性能聚酰胺（PPA）、液晶高分子（LCP）、聚醚醚酮（PEEK）等特种工程塑料。</w:t>
      </w:r>
    </w:p>
    <w:p w14:paraId="54E393BE">
      <w:pPr>
        <w:pStyle w:val="2"/>
        <w:keepNext w:val="0"/>
        <w:keepLines w:val="0"/>
        <w:pageBreakBefore w:val="0"/>
        <w:kinsoku/>
        <w:overflowPunct/>
        <w:topLinePunct w:val="0"/>
        <w:autoSpaceDE/>
        <w:autoSpaceDN/>
        <w:bidi w:val="0"/>
        <w:adjustRightInd/>
        <w:snapToGrid/>
        <w:spacing w:line="560" w:lineRule="exact"/>
        <w:ind w:firstLine="642"/>
        <w:textAlignment w:val="auto"/>
        <w:rPr>
          <w:rFonts w:hint="default" w:ascii="仿宋_GB2312" w:hAnsi="仿宋_GB2312" w:eastAsia="仿宋_GB2312" w:cs="仿宋_GB2312"/>
          <w:b w:val="0"/>
          <w:bCs w:val="0"/>
          <w:color w:val="000000"/>
          <w:sz w:val="32"/>
          <w:szCs w:val="32"/>
          <w:u w:val="single"/>
          <w:lang w:val="en" w:eastAsia="zh-CN" w:bidi="ar-SA"/>
        </w:rPr>
      </w:pPr>
      <w:r>
        <w:rPr>
          <w:rFonts w:hint="eastAsia" w:ascii="楷体_GB2312" w:hAnsi="楷体_GB2312" w:eastAsia="楷体_GB2312" w:cs="楷体_GB2312"/>
          <w:b/>
          <w:bCs/>
          <w:color w:val="000000"/>
          <w:sz w:val="32"/>
          <w:szCs w:val="32"/>
          <w:lang w:val="en-US" w:eastAsia="zh-CN"/>
        </w:rPr>
        <w:t>5.高端聚烯烃</w:t>
      </w:r>
      <w:r>
        <w:rPr>
          <w:rFonts w:hint="eastAsia" w:ascii="楷体_GB2312" w:hAnsi="楷体_GB2312" w:eastAsia="楷体_GB2312" w:cs="楷体_GB2312"/>
          <w:b/>
          <w:bCs/>
          <w:color w:val="000000"/>
          <w:sz w:val="32"/>
          <w:szCs w:val="32"/>
          <w:u w:val="none"/>
          <w:lang w:val="en-US" w:eastAsia="zh-CN"/>
        </w:rPr>
        <w:t>及弹性体</w:t>
      </w:r>
      <w:r>
        <w:rPr>
          <w:rFonts w:hint="eastAsia" w:ascii="楷体_GB2312" w:hAnsi="楷体_GB2312" w:eastAsia="楷体_GB2312" w:cs="楷体_GB2312"/>
          <w:b/>
          <w:bCs/>
          <w:color w:val="000000"/>
          <w:sz w:val="32"/>
          <w:szCs w:val="32"/>
          <w:lang w:val="en-US" w:eastAsia="zh-CN"/>
        </w:rPr>
        <w:t>产业链。</w:t>
      </w:r>
      <w:r>
        <w:rPr>
          <w:rFonts w:hint="eastAsia" w:ascii="仿宋_GB2312" w:hAnsi="仿宋_GB2312" w:eastAsia="仿宋_GB2312" w:cs="仿宋_GB2312"/>
          <w:b w:val="0"/>
          <w:bCs w:val="0"/>
          <w:color w:val="000000"/>
          <w:sz w:val="32"/>
          <w:szCs w:val="32"/>
          <w:lang w:val="en-US" w:eastAsia="zh-CN" w:bidi="ar-SA"/>
        </w:rPr>
        <w:t>依托浙石化高端聚烯烃、璞烯晶聚烯烃特种材料等已落地项目，优先发展聚烯烃弹性体（POE），逐步向茂金属聚乙烯（mPE）、环烯烃聚合物（COC）等特种领域延伸；以金塘新材料项目建设为契机，重点发展超高分子量聚乙烯（UHMWPE）、乙烯-醋酸乙烯酯共聚物（EVA）等高端聚烯烃产品；</w:t>
      </w:r>
      <w:r>
        <w:rPr>
          <w:rFonts w:hint="eastAsia" w:ascii="仿宋_GB2312" w:hAnsi="仿宋_GB2312" w:eastAsia="仿宋_GB2312" w:cs="仿宋_GB2312"/>
          <w:b w:val="0"/>
          <w:bCs w:val="0"/>
          <w:color w:val="000000"/>
          <w:sz w:val="32"/>
          <w:szCs w:val="32"/>
          <w:u w:val="none"/>
          <w:lang w:val="en-US" w:eastAsia="zh-CN" w:bidi="ar-SA"/>
        </w:rPr>
        <w:t>积极发展高端橡胶及弹性体，布局丁腈橡胶、氢化丁腈橡胶、丁基橡胶及卤化丁基橡胶等高端橡胶及弹性体材料。</w:t>
      </w:r>
    </w:p>
    <w:p w14:paraId="5400360F">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sz w:val="32"/>
          <w:szCs w:val="32"/>
          <w:lang w:val="en-US" w:eastAsia="zh-CN"/>
        </w:rPr>
      </w:pPr>
      <w:r>
        <w:rPr>
          <w:rFonts w:hint="eastAsia" w:ascii="楷体_GB2312" w:hAnsi="楷体_GB2312" w:eastAsia="楷体_GB2312" w:cs="楷体_GB2312"/>
          <w:b/>
          <w:bCs/>
          <w:color w:val="000000"/>
          <w:sz w:val="32"/>
          <w:szCs w:val="32"/>
          <w:lang w:val="en-US" w:eastAsia="zh-CN"/>
        </w:rPr>
        <w:t>（二）金属新材料及加工。</w:t>
      </w:r>
      <w:r>
        <w:rPr>
          <w:rFonts w:hint="eastAsia" w:ascii="仿宋_GB2312" w:hAnsi="仿宋_GB2312" w:eastAsia="仿宋_GB2312" w:cs="仿宋_GB2312"/>
          <w:color w:val="000000"/>
          <w:sz w:val="32"/>
          <w:szCs w:val="32"/>
          <w:lang w:val="en-US" w:eastAsia="zh-CN"/>
        </w:rPr>
        <w:t>立足大宗商品资源配置枢纽优势，坚持“精深加工+高端应用”双向发力。</w:t>
      </w:r>
    </w:p>
    <w:p w14:paraId="7E5AC9B3">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1.金属原料精深加工。</w:t>
      </w:r>
      <w:r>
        <w:rPr>
          <w:rFonts w:hint="default" w:ascii="仿宋_GB2312" w:hAnsi="仿宋_GB2312" w:eastAsia="仿宋_GB2312" w:cs="仿宋_GB2312"/>
          <w:color w:val="000000"/>
          <w:sz w:val="32"/>
          <w:szCs w:val="32"/>
          <w:lang w:val="en-US" w:eastAsia="zh-CN"/>
        </w:rPr>
        <w:t>探索推进球团等铁矿原料深加工，延伸钢铁产业链基础环节</w:t>
      </w:r>
      <w:r>
        <w:rPr>
          <w:rFonts w:hint="eastAsia" w:ascii="仿宋_GB2312" w:hAnsi="仿宋_GB2312" w:eastAsia="仿宋_GB2312" w:cs="仿宋_GB2312"/>
          <w:color w:val="000000"/>
          <w:sz w:val="32"/>
          <w:szCs w:val="32"/>
          <w:lang w:val="en-US" w:eastAsia="zh-CN"/>
        </w:rPr>
        <w:t>；做强铜、铝等大宗商品深加工，发展铜板带箔、车用高强铝、锂电超薄铝箔等高附加值产品；围绕光伏、储能、动力电池产业，布局电池级硫酸镍、氢氧化镍钴等新能源金属原料。</w:t>
      </w:r>
    </w:p>
    <w:p w14:paraId="080A51B1">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2.机筒螺杆加工。</w:t>
      </w:r>
      <w:r>
        <w:rPr>
          <w:rFonts w:hint="eastAsia" w:ascii="仿宋_GB2312" w:hAnsi="仿宋_GB2312" w:eastAsia="仿宋_GB2312" w:cs="仿宋_GB2312"/>
          <w:b w:val="0"/>
          <w:bCs w:val="0"/>
          <w:color w:val="000000"/>
          <w:sz w:val="32"/>
          <w:szCs w:val="32"/>
          <w:lang w:val="en-US" w:eastAsia="zh-CN"/>
        </w:rPr>
        <w:t>依托华业塑机等龙头企业研发平台，攻坚机筒螺杆镶嵌耐磨条、硬质陶瓷层堆焊等技术，提升产品耐磨、耐腐蚀、耐高压等性能，大力发展适配医疗、光学、汽车等精密制造领域的精密注塑、高效挤出及大型注塑螺杆系列产品。</w:t>
      </w:r>
    </w:p>
    <w:p w14:paraId="629D0D5F">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3.高端紧固件。</w:t>
      </w:r>
      <w:r>
        <w:rPr>
          <w:rFonts w:hint="eastAsia" w:ascii="仿宋_GB2312" w:hAnsi="仿宋_GB2312" w:eastAsia="仿宋_GB2312" w:cs="仿宋_GB2312"/>
          <w:b w:val="0"/>
          <w:bCs w:val="0"/>
          <w:color w:val="000000"/>
          <w:sz w:val="32"/>
          <w:szCs w:val="32"/>
          <w:lang w:val="en-US" w:eastAsia="zh-CN"/>
        </w:rPr>
        <w:t>持续强化7412工厂、正山智造等企业研发创新能力，做优陆上风电、传统汽车配套紧固件基本盘，同步向海上风电、深海油气、核电等高精尖应用领域拓展，前瞻布局航空航天特种紧固件市场。</w:t>
      </w:r>
    </w:p>
    <w:p w14:paraId="7A61E3C7">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4.汽车关键零部件。</w:t>
      </w:r>
      <w:r>
        <w:rPr>
          <w:rFonts w:hint="eastAsia" w:ascii="仿宋_GB2312" w:hAnsi="仿宋_GB2312" w:eastAsia="仿宋_GB2312" w:cs="仿宋_GB2312"/>
          <w:b w:val="0"/>
          <w:bCs w:val="0"/>
          <w:color w:val="000000"/>
          <w:sz w:val="32"/>
          <w:szCs w:val="32"/>
          <w:lang w:val="en-US" w:eastAsia="zh-CN"/>
        </w:rPr>
        <w:t>深耕新能源汽车发展赛道，重点发展混动发动机气门组件、动力电池壳体、一体化压铸高精度配套模具、轻量化铝镁合金成型模具等产品。</w:t>
      </w:r>
    </w:p>
    <w:p w14:paraId="5860366C">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5.海洋钢结构。</w:t>
      </w:r>
      <w:r>
        <w:rPr>
          <w:rFonts w:hint="eastAsia" w:ascii="仿宋_GB2312" w:hAnsi="仿宋_GB2312" w:eastAsia="仿宋_GB2312" w:cs="仿宋_GB2312"/>
          <w:b w:val="0"/>
          <w:bCs w:val="0"/>
          <w:color w:val="000000"/>
          <w:sz w:val="32"/>
          <w:szCs w:val="32"/>
          <w:lang w:val="en-US" w:eastAsia="zh-CN"/>
        </w:rPr>
        <w:t>立足舟山船舶海工、跨海大桥、临港基建、海上新能源四大特色海洋应用场景，研发适配海洋高盐雾环境的长效防腐桥梁专用型钢、复合防护涂层钢构件，迭代提升海上风机塔筒、导管架等海工构件长效防腐性能。</w:t>
      </w:r>
    </w:p>
    <w:p w14:paraId="417CB8D4">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6.船舶配套零部件。</w:t>
      </w:r>
      <w:r>
        <w:rPr>
          <w:rFonts w:hint="eastAsia" w:ascii="仿宋_GB2312" w:hAnsi="仿宋_GB2312" w:eastAsia="仿宋_GB2312" w:cs="仿宋_GB2312"/>
          <w:b w:val="0"/>
          <w:bCs w:val="0"/>
          <w:color w:val="000000"/>
          <w:sz w:val="32"/>
          <w:szCs w:val="32"/>
          <w:lang w:val="en-US" w:eastAsia="zh-CN"/>
        </w:rPr>
        <w:t>依托舟山船舶修造产业，联动浙江海洋大学、船舶海工创新中心等科创载体，发展锚绞机、船用吊机、舱口盖等高附加值甲板、舱室配套机械。</w:t>
      </w:r>
    </w:p>
    <w:p w14:paraId="1A1E8B7C">
      <w:pPr>
        <w:keepNext w:val="0"/>
        <w:keepLines w:val="0"/>
        <w:pageBreakBefore w:val="0"/>
        <w:kinsoku/>
        <w:wordWrap/>
        <w:overflowPunct/>
        <w:topLinePunct w:val="0"/>
        <w:autoSpaceDE/>
        <w:autoSpaceDN/>
        <w:bidi w:val="0"/>
        <w:adjustRightInd/>
        <w:snapToGrid/>
        <w:spacing w:afterAutospacing="0" w:line="560" w:lineRule="exact"/>
        <w:ind w:left="0" w:leftChars="0" w:firstLine="640"/>
        <w:jc w:val="both"/>
        <w:textAlignment w:val="auto"/>
        <w:rPr>
          <w:rFonts w:hint="eastAsia" w:ascii="黑体" w:hAnsi="黑体" w:eastAsia="黑体" w:cs="黑体"/>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r>
        <w:rPr>
          <w:rFonts w:hint="eastAsia" w:ascii="黑体" w:hAnsi="黑体" w:eastAsia="黑体" w:cs="黑体"/>
          <w:color w:val="000000"/>
          <w:sz w:val="32"/>
          <w:szCs w:val="32"/>
          <w:lang w:val="en-US" w:eastAsia="zh-CN"/>
        </w:rPr>
        <w:t>三、重点攻坚任务</w:t>
      </w:r>
    </w:p>
    <w:p w14:paraId="08F28E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1"/>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（一）优化空间布局体系，推动各区块科学错位发展</w:t>
      </w:r>
    </w:p>
    <w:p w14:paraId="2F790117">
      <w:pPr>
        <w:keepNext w:val="0"/>
        <w:keepLines w:val="0"/>
        <w:pageBreakBefore w:val="0"/>
        <w:widowControl/>
        <w:suppressLineNumbers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立足舟山临港资源禀赋优势，强化顶层系统谋划，科学编制我市“十五五”临港先进制造业发展规划，以规划引领产业有序布局、精准提质。</w:t>
      </w:r>
    </w:p>
    <w:p w14:paraId="5CA1D4D3">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 xml:space="preserve">    1.石化新材料。</w:t>
      </w:r>
      <w:r>
        <w:rPr>
          <w:rFonts w:hint="eastAsia" w:ascii="仿宋_GB2312" w:hAnsi="仿宋_GB2312" w:eastAsia="仿宋_GB2312" w:cs="仿宋_GB2312"/>
          <w:color w:val="000000"/>
          <w:sz w:val="32"/>
          <w:szCs w:val="32"/>
          <w:lang w:val="en-US" w:eastAsia="zh-CN"/>
        </w:rPr>
        <w:t>依托全市“一核五区”化工园区空间布局，坚持“一区块一主业、一园区一特色”，细化全域产业功能布局，避免同城竞争和同质化发展，实现赛道清晰、分工明确、互补联动。</w:t>
      </w:r>
    </w:p>
    <w:p w14:paraId="737D6389">
      <w:pPr>
        <w:keepNext w:val="0"/>
        <w:keepLines w:val="0"/>
        <w:pageBreakBefore w:val="0"/>
        <w:widowControl/>
        <w:suppressLineNumbers w:val="0"/>
        <w:kinsoku/>
        <w:overflowPunct/>
        <w:topLinePunct w:val="0"/>
        <w:autoSpaceDE/>
        <w:autoSpaceDN/>
        <w:bidi w:val="0"/>
        <w:adjustRightInd/>
        <w:snapToGrid/>
        <w:spacing w:line="560" w:lineRule="exact"/>
        <w:ind w:firstLine="642"/>
        <w:jc w:val="left"/>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——石化基地核心区。</w:t>
      </w:r>
      <w:r>
        <w:rPr>
          <w:rFonts w:hint="eastAsia" w:ascii="仿宋_GB2312" w:hAnsi="仿宋_GB2312" w:eastAsia="仿宋_GB2312" w:cs="仿宋_GB2312"/>
          <w:color w:val="000000"/>
          <w:sz w:val="32"/>
          <w:szCs w:val="32"/>
          <w:u w:val="none"/>
          <w:lang w:val="en-US" w:eastAsia="zh-CN"/>
        </w:rPr>
        <w:t>聚焦烯烃、芳烃下游及高附加值、紧缺型化工新材料，延伸发展高端聚烯烃及弹性体材料，打造世界级石化新材料核心承载区。</w:t>
      </w:r>
    </w:p>
    <w:p w14:paraId="7D2E37A8">
      <w:pPr>
        <w:pStyle w:val="7"/>
        <w:keepNext w:val="0"/>
        <w:keepLines w:val="0"/>
        <w:pageBreakBefore w:val="0"/>
        <w:kinsoku/>
        <w:overflowPunct/>
        <w:topLinePunct w:val="0"/>
        <w:autoSpaceDE/>
        <w:autoSpaceDN/>
        <w:bidi w:val="0"/>
        <w:adjustRightInd/>
        <w:snapToGrid/>
        <w:spacing w:line="560" w:lineRule="exact"/>
        <w:ind w:left="0" w:leftChars="0" w:firstLine="0" w:firstLineChars="0"/>
        <w:textAlignment w:val="auto"/>
        <w:rPr>
          <w:rFonts w:hint="eastAsia"/>
          <w:lang w:val="en-US" w:eastAsia="zh-CN"/>
        </w:rPr>
      </w:pPr>
      <w:r>
        <w:rPr>
          <w:rFonts w:hint="eastAsia" w:ascii="仿宋_GB2312" w:hAnsi="仿宋_GB2312" w:eastAsia="仿宋_GB2312" w:cs="仿宋_GB2312"/>
          <w:b/>
          <w:bCs/>
          <w:color w:val="000000"/>
          <w:sz w:val="32"/>
          <w:szCs w:val="32"/>
          <w:u w:val="none"/>
          <w:lang w:val="en-US" w:eastAsia="zh-CN"/>
        </w:rPr>
        <w:t xml:space="preserve">    ——定海拓展区。</w:t>
      </w:r>
      <w:r>
        <w:rPr>
          <w:rFonts w:hint="eastAsia" w:ascii="仿宋_GB2312" w:hAnsi="仿宋_GB2312" w:eastAsia="仿宋_GB2312" w:cs="仿宋_GB2312"/>
          <w:b w:val="0"/>
          <w:bCs w:val="0"/>
          <w:color w:val="000000"/>
          <w:sz w:val="32"/>
          <w:szCs w:val="32"/>
          <w:u w:val="none"/>
          <w:lang w:val="en-US" w:eastAsia="zh-CN"/>
        </w:rPr>
        <w:t>以聚泰新能源电池正极材料项目为先导，聚焦电池级硫酸镍、硫酸钴等新能源电池材料，延伸发展锂电池正极材料产业链；以天赋宏云生物燃料项目为依托，发展生物质绿色燃料新赛道；招引绿色环保聚氨酯、特种工程塑料项目，积极布局高性能复合材料下游应用端，打造特色产业集聚区。</w:t>
      </w:r>
    </w:p>
    <w:p w14:paraId="1F07815E">
      <w:pPr>
        <w:keepNext w:val="0"/>
        <w:keepLines w:val="0"/>
        <w:pageBreakBefore w:val="0"/>
        <w:widowControl/>
        <w:suppressLineNumbers w:val="0"/>
        <w:kinsoku/>
        <w:overflowPunct/>
        <w:topLinePunct w:val="0"/>
        <w:autoSpaceDE/>
        <w:autoSpaceDN/>
        <w:bidi w:val="0"/>
        <w:adjustRightInd/>
        <w:snapToGrid/>
        <w:spacing w:line="560" w:lineRule="exact"/>
        <w:ind w:firstLine="642"/>
        <w:jc w:val="both"/>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——岱山拓展区。</w:t>
      </w:r>
      <w:r>
        <w:rPr>
          <w:rFonts w:hint="default" w:ascii="仿宋_GB2312" w:hAnsi="仿宋_GB2312" w:eastAsia="仿宋_GB2312" w:cs="仿宋_GB2312"/>
          <w:color w:val="000000"/>
          <w:sz w:val="32"/>
          <w:szCs w:val="32"/>
          <w:u w:val="none"/>
          <w:lang w:val="en-US" w:eastAsia="zh-CN"/>
        </w:rPr>
        <w:t>依托石化基地产业外溢效应及岱山新材料中试基地，</w:t>
      </w:r>
      <w:r>
        <w:rPr>
          <w:rFonts w:hint="eastAsia" w:ascii="仿宋_GB2312" w:hAnsi="仿宋_GB2312" w:eastAsia="仿宋_GB2312" w:cs="仿宋_GB2312"/>
          <w:color w:val="000000"/>
          <w:sz w:val="32"/>
          <w:szCs w:val="32"/>
          <w:u w:val="none"/>
          <w:lang w:val="en-US" w:eastAsia="zh-CN"/>
        </w:rPr>
        <w:t>主攻高效催化剂、高性能纤维、生物基新材料、高端专用化学品等，打造科技成果转化与产业化示范基地。</w:t>
      </w:r>
    </w:p>
    <w:p w14:paraId="04BBAE9D">
      <w:pPr>
        <w:keepNext w:val="0"/>
        <w:keepLines w:val="0"/>
        <w:pageBreakBefore w:val="0"/>
        <w:widowControl/>
        <w:suppressLineNumbers w:val="0"/>
        <w:kinsoku/>
        <w:overflowPunct/>
        <w:topLinePunct w:val="0"/>
        <w:autoSpaceDE/>
        <w:autoSpaceDN/>
        <w:bidi w:val="0"/>
        <w:adjustRightInd/>
        <w:snapToGrid/>
        <w:spacing w:line="560" w:lineRule="exact"/>
        <w:ind w:firstLine="642"/>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——高新区拓展区。</w:t>
      </w:r>
      <w:r>
        <w:rPr>
          <w:rFonts w:hint="eastAsia" w:ascii="仿宋_GB2312" w:hAnsi="仿宋_GB2312" w:eastAsia="仿宋_GB2312" w:cs="仿宋_GB2312"/>
          <w:b w:val="0"/>
          <w:bCs w:val="0"/>
          <w:color w:val="000000"/>
          <w:sz w:val="32"/>
          <w:szCs w:val="32"/>
          <w:u w:val="none"/>
          <w:lang w:val="en-US" w:eastAsia="zh-CN"/>
        </w:rPr>
        <w:t>依托已落地重大项目，引进柔性电子材料产业配套企业，推进电池关键材料产业建设，重点发展电子特气、柔性电子材料、电池关键材料三大领域。</w:t>
      </w:r>
    </w:p>
    <w:p w14:paraId="72765350">
      <w:pPr>
        <w:keepNext w:val="0"/>
        <w:keepLines w:val="0"/>
        <w:pageBreakBefore w:val="0"/>
        <w:widowControl/>
        <w:suppressLineNumbers w:val="0"/>
        <w:kinsoku/>
        <w:overflowPunct/>
        <w:topLinePunct w:val="0"/>
        <w:autoSpaceDE/>
        <w:autoSpaceDN/>
        <w:bidi w:val="0"/>
        <w:adjustRightInd/>
        <w:snapToGrid/>
        <w:spacing w:line="560" w:lineRule="exact"/>
        <w:ind w:firstLine="642"/>
        <w:jc w:val="both"/>
        <w:textAlignment w:val="auto"/>
        <w:rPr>
          <w:rFonts w:hint="eastAsia" w:ascii="仿宋_GB2312" w:hAnsi="仿宋_GB2312" w:eastAsia="仿宋_GB2312" w:cs="仿宋_GB2312"/>
          <w:b w:val="0"/>
          <w:bCs w:val="0"/>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——金塘拓展区。</w:t>
      </w:r>
      <w:r>
        <w:rPr>
          <w:rFonts w:hint="eastAsia" w:ascii="仿宋_GB2312" w:hAnsi="仿宋_GB2312" w:eastAsia="仿宋_GB2312" w:cs="仿宋_GB2312"/>
          <w:b w:val="0"/>
          <w:bCs w:val="0"/>
          <w:color w:val="000000"/>
          <w:sz w:val="32"/>
          <w:szCs w:val="32"/>
          <w:u w:val="none"/>
          <w:lang w:val="en-US" w:eastAsia="zh-CN"/>
        </w:rPr>
        <w:t>依托石化基地原料及码头资源优势，重点构建以低碳烯烃、精细化学品为基础原料平台，以高端聚烯烃、工程塑料、特种合成树脂为终端产品的全产业链体系，建设高性能材料基地。</w:t>
      </w:r>
    </w:p>
    <w:p w14:paraId="01151C63">
      <w:pPr>
        <w:keepNext w:val="0"/>
        <w:keepLines w:val="0"/>
        <w:pageBreakBefore w:val="0"/>
        <w:widowControl/>
        <w:suppressLineNumbers w:val="0"/>
        <w:kinsoku/>
        <w:overflowPunct/>
        <w:topLinePunct w:val="0"/>
        <w:autoSpaceDE/>
        <w:autoSpaceDN/>
        <w:bidi w:val="0"/>
        <w:adjustRightInd/>
        <w:snapToGrid/>
        <w:spacing w:line="560" w:lineRule="exact"/>
        <w:ind w:firstLine="642"/>
        <w:jc w:val="both"/>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b/>
          <w:bCs/>
          <w:color w:val="000000"/>
          <w:sz w:val="32"/>
          <w:szCs w:val="32"/>
          <w:u w:val="none"/>
          <w:lang w:val="en-US" w:eastAsia="zh-CN"/>
        </w:rPr>
        <w:t>——六横拓展区。</w:t>
      </w:r>
      <w:r>
        <w:rPr>
          <w:rFonts w:hint="eastAsia" w:ascii="仿宋_GB2312" w:hAnsi="仿宋_GB2312" w:eastAsia="仿宋_GB2312" w:cs="仿宋_GB2312"/>
          <w:color w:val="000000"/>
          <w:sz w:val="32"/>
          <w:szCs w:val="32"/>
          <w:u w:val="none"/>
          <w:lang w:val="en-US" w:eastAsia="zh-CN"/>
        </w:rPr>
        <w:t>重点发展超高纯聚烯烃材料、生物能源等细分领域。依托区域氢能资源优势，推动绿氢资源与碳捕集技术深度融合，重点突破绿色甲醇生产工艺，发展绿色甲醇、可持续航空燃料（SAF）等绿色能源产业。</w:t>
      </w:r>
      <w:r>
        <w:rPr>
          <w:rFonts w:hint="eastAsia" w:ascii="楷体_GB2312" w:hAnsi="楷体_GB2312" w:eastAsia="楷体_GB2312" w:cs="楷体_GB2312"/>
          <w:color w:val="000000"/>
          <w:sz w:val="32"/>
          <w:szCs w:val="32"/>
          <w:highlight w:val="none"/>
          <w:lang w:val="en-US" w:eastAsia="zh-CN"/>
        </w:rPr>
        <w:t>(责任单位：市经信局、市发改委，以下除特别说明外，列第一位的为牵头单位，相关任务均需各县〔区〕、功能区管委会落实，不再列出</w:t>
      </w:r>
      <w:r>
        <w:rPr>
          <w:rFonts w:hint="default" w:ascii="楷体_GB2312" w:hAnsi="楷体_GB2312" w:eastAsia="楷体_GB2312" w:cs="楷体_GB2312"/>
          <w:color w:val="000000"/>
          <w:sz w:val="32"/>
          <w:szCs w:val="32"/>
          <w:highlight w:val="none"/>
          <w:lang w:val="en-US" w:eastAsia="zh-CN"/>
        </w:rPr>
        <w:t>）</w:t>
      </w:r>
    </w:p>
    <w:p w14:paraId="3A94F9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2.金属新材料及加工。</w:t>
      </w:r>
      <w:r>
        <w:rPr>
          <w:rFonts w:hint="eastAsia" w:ascii="仿宋_GB2312" w:hAnsi="仿宋_GB2312" w:eastAsia="仿宋_GB2312" w:cs="仿宋_GB2312"/>
          <w:color w:val="000000"/>
          <w:sz w:val="32"/>
          <w:szCs w:val="32"/>
          <w:lang w:val="en-US" w:eastAsia="zh-CN"/>
        </w:rPr>
        <w:t>持续优化全域空间布局，整合提升金塘塑机螺杆产业园、</w:t>
      </w:r>
      <w:r>
        <w:rPr>
          <w:rFonts w:hint="eastAsia" w:ascii="仿宋_GB2312" w:hAnsi="仿宋_GB2312" w:eastAsia="仿宋_GB2312" w:cs="仿宋_GB2312"/>
          <w:color w:val="000000"/>
          <w:sz w:val="32"/>
          <w:szCs w:val="32"/>
          <w:u w:val="none"/>
          <w:lang w:val="en-US" w:eastAsia="zh-CN"/>
        </w:rPr>
        <w:t>六横小湖工业园</w:t>
      </w:r>
      <w:r>
        <w:rPr>
          <w:rFonts w:hint="eastAsia" w:ascii="仿宋_GB2312" w:hAnsi="仿宋_GB2312" w:eastAsia="仿宋_GB2312" w:cs="仿宋_GB2312"/>
          <w:color w:val="000000"/>
          <w:sz w:val="32"/>
          <w:szCs w:val="32"/>
          <w:lang w:val="en-US" w:eastAsia="zh-CN"/>
        </w:rPr>
        <w:t>等特色平台，提质打造定海海洋装备智造园、岱山东沙汽船配小镇等小微企业集聚载体。引导各区块立足产业基础、找准细分赛道、错位互补发展，推动金属产业从零散粗放加工向集群化、高端化、专业化协同发展模式整体跃升。</w:t>
      </w:r>
    </w:p>
    <w:p w14:paraId="3F20D6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——定海区。</w:t>
      </w:r>
      <w:r>
        <w:rPr>
          <w:rFonts w:hint="eastAsia" w:ascii="仿宋_GB2312" w:hAnsi="仿宋_GB2312" w:eastAsia="仿宋_GB2312" w:cs="仿宋_GB2312"/>
          <w:color w:val="000000"/>
          <w:sz w:val="32"/>
          <w:szCs w:val="32"/>
          <w:u w:val="none"/>
          <w:lang w:val="en-US" w:eastAsia="zh-CN"/>
        </w:rPr>
        <w:t>推动紧固件产品向高强度、耐腐蚀方向升级，提升海洋工程、风电装备等高端应用领域配套能力。</w:t>
      </w:r>
    </w:p>
    <w:p w14:paraId="5399AA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——普陀区。</w:t>
      </w:r>
      <w:r>
        <w:rPr>
          <w:rFonts w:hint="eastAsia" w:ascii="仿宋_GB2312" w:hAnsi="仿宋_GB2312" w:eastAsia="仿宋_GB2312" w:cs="仿宋_GB2312"/>
          <w:color w:val="000000"/>
          <w:sz w:val="32"/>
          <w:szCs w:val="32"/>
          <w:u w:val="none"/>
          <w:lang w:val="en-US" w:eastAsia="zh-CN"/>
        </w:rPr>
        <w:t>做强不锈钢精深加工；加快发展面向海上风电、深海油气的高端防腐紧固件产品。</w:t>
      </w:r>
    </w:p>
    <w:p w14:paraId="329AFC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——岱山县。</w:t>
      </w:r>
      <w:r>
        <w:rPr>
          <w:rFonts w:hint="eastAsia" w:ascii="仿宋_GB2312" w:hAnsi="仿宋_GB2312" w:eastAsia="仿宋_GB2312" w:cs="仿宋_GB2312"/>
          <w:color w:val="000000"/>
          <w:sz w:val="32"/>
          <w:szCs w:val="32"/>
          <w:u w:val="none"/>
          <w:lang w:val="en-US" w:eastAsia="zh-CN"/>
        </w:rPr>
        <w:t>做强汽配制造产业，推动传统汽配向新能源汽车轻量化、模块化部件转型，积极融入长三角新能源汽车产业链。</w:t>
      </w:r>
    </w:p>
    <w:p w14:paraId="15A233C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——高新区。</w:t>
      </w:r>
      <w:r>
        <w:rPr>
          <w:rFonts w:hint="eastAsia" w:ascii="仿宋_GB2312" w:hAnsi="仿宋_GB2312" w:eastAsia="仿宋_GB2312" w:cs="仿宋_GB2312"/>
          <w:color w:val="000000"/>
          <w:sz w:val="32"/>
          <w:szCs w:val="32"/>
          <w:u w:val="none"/>
          <w:lang w:val="en-US" w:eastAsia="zh-CN"/>
        </w:rPr>
        <w:t>支持汽配产业向新能源化、轻量化方向升级，推动新材料与汽配制造融合发展。</w:t>
      </w:r>
    </w:p>
    <w:p w14:paraId="7C281E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b/>
          <w:bCs/>
          <w:color w:val="000000"/>
          <w:sz w:val="32"/>
          <w:szCs w:val="32"/>
          <w:u w:val="none"/>
          <w:lang w:val="en-US" w:eastAsia="zh-CN"/>
        </w:rPr>
        <w:t>——金塘。</w:t>
      </w:r>
      <w:r>
        <w:rPr>
          <w:rFonts w:hint="eastAsia" w:ascii="仿宋_GB2312" w:hAnsi="仿宋_GB2312" w:eastAsia="仿宋_GB2312" w:cs="仿宋_GB2312"/>
          <w:color w:val="000000"/>
          <w:sz w:val="32"/>
          <w:szCs w:val="32"/>
          <w:u w:val="none"/>
          <w:lang w:val="en-US" w:eastAsia="zh-CN"/>
        </w:rPr>
        <w:t>持续做强高端精密塑机螺杆优势产业，积极承接宁波高端装备制造业溢出，打造高端装备制造增长极。</w:t>
      </w:r>
    </w:p>
    <w:p w14:paraId="0702D1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2"/>
        <w:jc w:val="both"/>
        <w:textAlignment w:val="auto"/>
        <w:outlineLvl w:val="1"/>
        <w:rPr>
          <w:rFonts w:hint="eastAsia"/>
          <w:color w:val="000000"/>
          <w:lang w:val="en-US" w:eastAsia="zh-CN"/>
        </w:rPr>
      </w:pPr>
      <w:r>
        <w:rPr>
          <w:rFonts w:hint="eastAsia" w:ascii="仿宋_GB2312" w:hAnsi="仿宋_GB2312" w:eastAsia="仿宋_GB2312" w:cs="仿宋_GB2312"/>
          <w:b/>
          <w:bCs/>
          <w:color w:val="000000"/>
          <w:sz w:val="32"/>
          <w:szCs w:val="32"/>
          <w:u w:val="none"/>
          <w:lang w:val="en-US" w:eastAsia="zh-CN"/>
        </w:rPr>
        <w:t>——六横。</w:t>
      </w:r>
      <w:r>
        <w:rPr>
          <w:rFonts w:hint="eastAsia" w:ascii="仿宋_GB2312" w:hAnsi="仿宋_GB2312" w:eastAsia="仿宋_GB2312" w:cs="仿宋_GB2312"/>
          <w:color w:val="000000"/>
          <w:sz w:val="32"/>
          <w:szCs w:val="32"/>
          <w:u w:val="none"/>
          <w:lang w:val="en-US" w:eastAsia="zh-CN"/>
        </w:rPr>
        <w:t>做强传统仪表制造产业，积极培育齿轮、轴承、永磁电机等新能源汽车配套产业。</w:t>
      </w:r>
      <w:r>
        <w:rPr>
          <w:rFonts w:hint="eastAsia" w:ascii="楷体_GB2312" w:hAnsi="楷体_GB2312" w:eastAsia="楷体_GB2312" w:cs="楷体_GB2312"/>
          <w:color w:val="000000"/>
          <w:sz w:val="32"/>
          <w:szCs w:val="32"/>
          <w:highlight w:val="none"/>
          <w:lang w:val="en-US" w:eastAsia="zh-CN"/>
        </w:rPr>
        <w:t>(责任单位：市经信局、市发改委</w:t>
      </w:r>
      <w:r>
        <w:rPr>
          <w:rFonts w:hint="default" w:ascii="楷体_GB2312" w:hAnsi="楷体_GB2312" w:eastAsia="楷体_GB2312" w:cs="楷体_GB2312"/>
          <w:color w:val="000000"/>
          <w:sz w:val="32"/>
          <w:szCs w:val="32"/>
          <w:highlight w:val="none"/>
          <w:lang w:val="en-US" w:eastAsia="zh-CN"/>
        </w:rPr>
        <w:t>）</w:t>
      </w:r>
    </w:p>
    <w:p w14:paraId="1BCD94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1"/>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（二）强化科创支撑体系，持续增强创新策源能力</w:t>
      </w:r>
    </w:p>
    <w:p w14:paraId="568EA703">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b/>
          <w:bCs/>
          <w:color w:val="000000"/>
          <w:kern w:val="2"/>
          <w:sz w:val="32"/>
          <w:szCs w:val="32"/>
          <w:lang w:val="en-US" w:eastAsia="zh-CN" w:bidi="ar-SA"/>
        </w:rPr>
        <w:t>1.集聚高能级创新平台载体。</w:t>
      </w:r>
      <w:r>
        <w:rPr>
          <w:rFonts w:hint="eastAsia" w:ascii="仿宋_GB2312" w:hAnsi="仿宋_GB2312" w:eastAsia="仿宋_GB2312" w:cs="仿宋_GB2312"/>
          <w:color w:val="000000"/>
          <w:kern w:val="2"/>
          <w:sz w:val="32"/>
          <w:szCs w:val="32"/>
          <w:lang w:val="en-US" w:eastAsia="zh-CN" w:bidi="ar-SA"/>
        </w:rPr>
        <w:t>持续做强“一县一中心”科创平台矩阵，全面提升平台技术研发、设备共享、中试验证、企业孵化、人才培育综合服务能力。</w:t>
      </w:r>
      <w:r>
        <w:rPr>
          <w:rFonts w:hint="eastAsia" w:ascii="仿宋_GB2312" w:hAnsi="仿宋_GB2312" w:eastAsia="仿宋_GB2312" w:cs="仿宋_GB2312"/>
          <w:b/>
          <w:bCs/>
          <w:color w:val="000000"/>
          <w:kern w:val="2"/>
          <w:sz w:val="32"/>
          <w:szCs w:val="32"/>
          <w:lang w:val="en-US" w:eastAsia="zh-CN" w:bidi="ar-SA"/>
        </w:rPr>
        <w:t>石化新材料领域，</w:t>
      </w:r>
      <w:r>
        <w:rPr>
          <w:rFonts w:hint="eastAsia" w:ascii="仿宋_GB2312" w:hAnsi="仿宋_GB2312" w:eastAsia="仿宋_GB2312" w:cs="仿宋_GB2312"/>
          <w:color w:val="000000"/>
          <w:kern w:val="2"/>
          <w:sz w:val="32"/>
          <w:szCs w:val="32"/>
          <w:lang w:val="en-US" w:eastAsia="zh-CN" w:bidi="ar-SA"/>
        </w:rPr>
        <w:t>依托岱山高性能合成材料产业创新中心、中科院宁波材料所岱山中试基地，整合设备、技术、团队资源，打造覆盖概念验证、小试中试、产品检测、产业化赋能的全市共性公共创新平台，集中攻坚高效催化剂、高端树脂配方等行业“卡脖子”共性技术。</w:t>
      </w:r>
      <w:r>
        <w:rPr>
          <w:rFonts w:hint="eastAsia" w:ascii="仿宋_GB2312" w:hAnsi="仿宋_GB2312" w:eastAsia="仿宋_GB2312" w:cs="仿宋_GB2312"/>
          <w:b/>
          <w:bCs/>
          <w:color w:val="000000"/>
          <w:kern w:val="2"/>
          <w:sz w:val="32"/>
          <w:szCs w:val="32"/>
          <w:lang w:val="en-US" w:eastAsia="zh-CN" w:bidi="ar-SA"/>
        </w:rPr>
        <w:t>金属新材料领域，</w:t>
      </w:r>
      <w:r>
        <w:rPr>
          <w:rFonts w:hint="eastAsia" w:ascii="仿宋_GB2312" w:hAnsi="仿宋_GB2312" w:eastAsia="仿宋_GB2312" w:cs="仿宋_GB2312"/>
          <w:color w:val="000000"/>
          <w:kern w:val="2"/>
          <w:sz w:val="32"/>
          <w:szCs w:val="32"/>
          <w:lang w:val="en-US" w:eastAsia="zh-CN" w:bidi="ar-SA"/>
        </w:rPr>
        <w:t>依托浙工大激光制造研究院、定海船舶与海工产业创新中心，持续推广激光表面改性等先进技术，研发修造船</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智能化机械设备</w:t>
      </w:r>
      <w:r>
        <w:rPr>
          <w:rFonts w:hint="eastAsia" w:ascii="仿宋_GB2312" w:hAnsi="仿宋_GB2312" w:eastAsia="仿宋_GB2312" w:cs="仿宋_GB2312"/>
          <w:color w:val="000000"/>
          <w:kern w:val="2"/>
          <w:sz w:val="32"/>
          <w:szCs w:val="32"/>
          <w:lang w:val="en-US" w:eastAsia="zh-CN" w:bidi="ar-SA"/>
        </w:rPr>
        <w:t>，赋能螺杆、紧固件、船舶海工零部件等传统产业迭代升级。</w:t>
      </w:r>
      <w:r>
        <w:rPr>
          <w:rFonts w:hint="eastAsia" w:ascii="仿宋_GB2312" w:hAnsi="仿宋_GB2312" w:eastAsia="仿宋_GB2312" w:cs="仿宋_GB2312"/>
          <w:b/>
          <w:bCs/>
          <w:color w:val="000000"/>
          <w:kern w:val="2"/>
          <w:sz w:val="32"/>
          <w:szCs w:val="32"/>
          <w:lang w:val="en-US" w:eastAsia="zh-CN" w:bidi="ar-SA"/>
        </w:rPr>
        <w:t>企业创新层面，</w:t>
      </w:r>
      <w:r>
        <w:rPr>
          <w:rFonts w:hint="eastAsia" w:ascii="仿宋_GB2312" w:hAnsi="仿宋_GB2312" w:eastAsia="仿宋_GB2312" w:cs="仿宋_GB2312"/>
          <w:color w:val="000000"/>
          <w:kern w:val="2"/>
          <w:sz w:val="32"/>
          <w:szCs w:val="32"/>
          <w:lang w:val="en-US" w:eastAsia="zh-CN" w:bidi="ar-SA"/>
        </w:rPr>
        <w:t>深入实施企业研究院培育行动，鼓励链主企业牵头建设企业技术中心、工程研究中心、重点企业研究院，构建分层分类、梯次完备的企业创新体系，力争在国家级、省级首批次新材料、首台套、新场景认定上实现更大突破。</w:t>
      </w:r>
      <w:r>
        <w:rPr>
          <w:rFonts w:hint="eastAsia" w:ascii="楷体_GB2312" w:hAnsi="楷体_GB2312" w:eastAsia="楷体_GB2312" w:cs="楷体_GB2312"/>
          <w:color w:val="000000"/>
          <w:sz w:val="32"/>
          <w:szCs w:val="32"/>
          <w:highlight w:val="none"/>
          <w:lang w:val="en-US" w:eastAsia="zh-CN"/>
        </w:rPr>
        <w:t>（责任单位：市科技局、市经信局）</w:t>
      </w:r>
    </w:p>
    <w:p w14:paraId="493D379B">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outlineLvl w:val="3"/>
        <w:rPr>
          <w:rFonts w:hint="eastAsia"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b/>
          <w:bCs/>
          <w:color w:val="000000"/>
          <w:sz w:val="32"/>
          <w:szCs w:val="32"/>
          <w:lang w:val="en-US" w:eastAsia="zh-CN"/>
        </w:rPr>
        <w:t xml:space="preserve">    2.健全成果高效转化机制。</w:t>
      </w:r>
      <w:r>
        <w:rPr>
          <w:rFonts w:hint="eastAsia" w:ascii="仿宋_GB2312" w:hAnsi="仿宋_GB2312" w:eastAsia="仿宋_GB2312" w:cs="仿宋_GB2312"/>
          <w:b w:val="0"/>
          <w:bCs w:val="0"/>
          <w:color w:val="000000"/>
          <w:sz w:val="32"/>
          <w:szCs w:val="32"/>
          <w:lang w:val="en-US" w:eastAsia="zh-CN"/>
        </w:rPr>
        <w:t>推动“高校+平台+企业+产业链”结对合作和“四题一评”</w:t>
      </w:r>
      <w:r>
        <w:rPr>
          <w:rFonts w:hint="eastAsia" w:ascii="仿宋_GB2312" w:hAnsi="仿宋_GB2312" w:eastAsia="仿宋_GB2312" w:cs="仿宋_GB2312"/>
          <w:b w:val="0"/>
          <w:bCs w:val="0"/>
          <w:color w:val="000000"/>
          <w:sz w:val="32"/>
          <w:szCs w:val="32"/>
          <w:u w:val="none"/>
          <w:lang w:val="en-US" w:eastAsia="zh-CN"/>
        </w:rPr>
        <w:t>（企业出题、政府助题、平台答题、车间验题和市场评价）</w:t>
      </w:r>
      <w:r>
        <w:rPr>
          <w:rFonts w:hint="eastAsia" w:ascii="仿宋_GB2312" w:hAnsi="仿宋_GB2312" w:eastAsia="仿宋_GB2312" w:cs="仿宋_GB2312"/>
          <w:b w:val="0"/>
          <w:bCs w:val="0"/>
          <w:color w:val="000000"/>
          <w:sz w:val="32"/>
          <w:szCs w:val="32"/>
          <w:lang w:val="en-US" w:eastAsia="zh-CN"/>
        </w:rPr>
        <w:t>协同攻关双机制联动，支持重点企业、高能级创新平台等积极承担国家和省市重大科技项目，围绕</w:t>
      </w:r>
      <w:r>
        <w:rPr>
          <w:rFonts w:hint="eastAsia" w:ascii="仿宋_GB2312" w:hAnsi="仿宋_GB2312" w:eastAsia="仿宋_GB2312" w:cs="仿宋_GB2312"/>
          <w:b w:val="0"/>
          <w:bCs w:val="0"/>
          <w:color w:val="000000"/>
          <w:kern w:val="2"/>
          <w:sz w:val="32"/>
          <w:szCs w:val="32"/>
          <w:shd w:val="clear" w:color="auto" w:fill="auto"/>
          <w:lang w:val="en-US" w:eastAsia="zh-CN" w:bidi="ar-SA"/>
        </w:rPr>
        <w:t>高端聚烯烃、</w:t>
      </w:r>
      <w:r>
        <w:rPr>
          <w:rFonts w:hint="eastAsia" w:ascii="仿宋_GB2312" w:hAnsi="仿宋_GB2312" w:eastAsia="仿宋_GB2312" w:cs="仿宋_GB2312"/>
          <w:color w:val="000000"/>
          <w:kern w:val="2"/>
          <w:sz w:val="32"/>
          <w:szCs w:val="32"/>
          <w:lang w:val="en-US" w:eastAsia="zh-CN" w:bidi="ar-SA"/>
        </w:rPr>
        <w:t>高效催化剂、高端树脂配方、高端船用材料等领域开展</w:t>
      </w:r>
      <w:r>
        <w:rPr>
          <w:rFonts w:hint="eastAsia" w:ascii="仿宋_GB2312" w:hAnsi="仿宋_GB2312" w:eastAsia="仿宋_GB2312" w:cs="仿宋_GB2312"/>
          <w:b w:val="0"/>
          <w:bCs w:val="0"/>
          <w:color w:val="000000"/>
          <w:sz w:val="32"/>
          <w:szCs w:val="32"/>
          <w:lang w:val="en-US" w:eastAsia="zh-CN"/>
        </w:rPr>
        <w:t>关键和共性技术联合攻关。</w:t>
      </w:r>
      <w:r>
        <w:rPr>
          <w:rFonts w:hint="eastAsia" w:ascii="仿宋_GB2312" w:hAnsi="仿宋_GB2312" w:eastAsia="仿宋_GB2312" w:cs="仿宋_GB2312"/>
          <w:color w:val="000000"/>
          <w:kern w:val="2"/>
          <w:sz w:val="32"/>
          <w:szCs w:val="32"/>
          <w:lang w:val="en-US" w:eastAsia="zh-CN" w:bidi="ar-SA"/>
        </w:rPr>
        <w:t>积极探索科研成果“先用后转、先试后投”新模式，打通技术成果产业化最后一公里。鼓励龙头企业联合上下游企业、高校院所、行业协会，推动新材料研发与终端产品设计、场景应用、系统验证同步推进。</w:t>
      </w:r>
      <w:r>
        <w:rPr>
          <w:rFonts w:hint="eastAsia" w:ascii="楷体_GB2312" w:hAnsi="楷体_GB2312" w:eastAsia="楷体_GB2312" w:cs="楷体_GB2312"/>
          <w:color w:val="000000"/>
          <w:sz w:val="32"/>
          <w:szCs w:val="32"/>
          <w:highlight w:val="none"/>
          <w:lang w:val="en-US" w:eastAsia="zh-CN"/>
        </w:rPr>
        <w:t>（责任单位：市科技局）</w:t>
      </w:r>
    </w:p>
    <w:p w14:paraId="412D4B69">
      <w:pPr>
        <w:pStyle w:val="2"/>
        <w:keepNext w:val="0"/>
        <w:keepLines w:val="0"/>
        <w:pageBreakBefore w:val="0"/>
        <w:numPr>
          <w:ilvl w:val="0"/>
          <w:numId w:val="0"/>
        </w:numPr>
        <w:kinsoku/>
        <w:overflowPunct/>
        <w:topLinePunct w:val="0"/>
        <w:autoSpaceDE/>
        <w:autoSpaceDN/>
        <w:bidi w:val="0"/>
        <w:adjustRightInd/>
        <w:snapToGrid/>
        <w:spacing w:line="560" w:lineRule="exact"/>
        <w:ind w:firstLine="642"/>
        <w:textAlignment w:val="auto"/>
        <w:rPr>
          <w:rFonts w:hint="eastAsia"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构</w:t>
      </w:r>
      <w:r>
        <w:rPr>
          <w:rFonts w:hint="eastAsia" w:ascii="仿宋_GB2312" w:hAnsi="仿宋_GB2312" w:eastAsia="仿宋_GB2312" w:cs="仿宋_GB2312"/>
          <w:b/>
          <w:bCs/>
          <w:color w:val="000000"/>
          <w:sz w:val="32"/>
          <w:szCs w:val="32"/>
          <w:lang w:val="en-US" w:eastAsia="zh-CN"/>
        </w:rPr>
        <w:t>建产业金融赋能矩阵。</w:t>
      </w:r>
      <w:r>
        <w:rPr>
          <w:rFonts w:hint="eastAsia" w:ascii="仿宋_GB2312" w:hAnsi="仿宋_GB2312" w:eastAsia="仿宋_GB2312" w:cs="仿宋_GB2312"/>
          <w:b w:val="0"/>
          <w:bCs w:val="0"/>
          <w:color w:val="000000"/>
          <w:sz w:val="32"/>
          <w:szCs w:val="32"/>
          <w:u w:val="none"/>
          <w:lang w:val="en-US" w:eastAsia="zh-CN"/>
        </w:rPr>
        <w:t>充分发挥</w:t>
      </w:r>
      <w:r>
        <w:rPr>
          <w:rFonts w:hint="eastAsia" w:ascii="仿宋_GB2312" w:hAnsi="仿宋_GB2312" w:eastAsia="仿宋_GB2312" w:cs="仿宋_GB2312"/>
          <w:b w:val="0"/>
          <w:bCs w:val="0"/>
          <w:color w:val="000000"/>
          <w:sz w:val="32"/>
          <w:szCs w:val="32"/>
          <w:lang w:val="en-US" w:eastAsia="zh-CN"/>
        </w:rPr>
        <w:t>市级产业基金、科创基金作用，联动</w:t>
      </w:r>
      <w:r>
        <w:rPr>
          <w:rFonts w:hint="eastAsia" w:ascii="仿宋_GB2312" w:hAnsi="仿宋_GB2312" w:eastAsia="仿宋_GB2312" w:cs="仿宋_GB2312"/>
          <w:b w:val="0"/>
          <w:bCs w:val="0"/>
          <w:color w:val="000000"/>
          <w:sz w:val="32"/>
          <w:szCs w:val="32"/>
          <w:u w:val="none"/>
          <w:lang w:val="en-US" w:eastAsia="zh-CN"/>
        </w:rPr>
        <w:t>省级基金</w:t>
      </w:r>
      <w:r>
        <w:rPr>
          <w:rFonts w:hint="eastAsia" w:ascii="仿宋_GB2312" w:hAnsi="仿宋_GB2312" w:eastAsia="仿宋_GB2312" w:cs="仿宋_GB2312"/>
          <w:b w:val="0"/>
          <w:bCs w:val="0"/>
          <w:color w:val="000000"/>
          <w:sz w:val="32"/>
          <w:szCs w:val="32"/>
          <w:lang w:val="en-US" w:eastAsia="zh-CN"/>
        </w:rPr>
        <w:t>构建“省市级联动、产业与科创协同”的基金赋能体系。</w:t>
      </w:r>
      <w:r>
        <w:rPr>
          <w:rFonts w:hint="eastAsia" w:ascii="仿宋_GB2312" w:hAnsi="仿宋_GB2312" w:eastAsia="仿宋_GB2312" w:cs="仿宋_GB2312"/>
          <w:b w:val="0"/>
          <w:bCs w:val="0"/>
          <w:color w:val="000000"/>
          <w:sz w:val="32"/>
          <w:szCs w:val="32"/>
          <w:u w:val="none"/>
          <w:lang w:val="en-US" w:eastAsia="zh-CN"/>
        </w:rPr>
        <w:t>通过资本引导、股权赋能、项目直投等方式</w:t>
      </w:r>
      <w:r>
        <w:rPr>
          <w:rFonts w:hint="eastAsia" w:ascii="仿宋_GB2312" w:hAnsi="仿宋_GB2312" w:eastAsia="仿宋_GB2312" w:cs="仿宋_GB2312"/>
          <w:b w:val="0"/>
          <w:bCs w:val="0"/>
          <w:color w:val="000000"/>
          <w:sz w:val="32"/>
          <w:szCs w:val="32"/>
          <w:lang w:val="en-US" w:eastAsia="zh-CN"/>
        </w:rPr>
        <w:t>，精准撬动优质产业项目、高端创新团队、优质金融资源向我市集聚，重点支持高附加值、高技术含量、强带动性的新材料延链补链项目落地，持续提升全市新材料产业高端化、集群化、资本化发展水平。</w:t>
      </w:r>
      <w:r>
        <w:rPr>
          <w:rFonts w:hint="eastAsia" w:ascii="楷体_GB2312" w:hAnsi="楷体_GB2312" w:eastAsia="楷体_GB2312" w:cs="楷体_GB2312"/>
          <w:color w:val="000000"/>
          <w:sz w:val="32"/>
          <w:szCs w:val="32"/>
          <w:highlight w:val="none"/>
          <w:lang w:val="en-US" w:eastAsia="zh-CN"/>
        </w:rPr>
        <w:t>（责任单位：市财政局、市科技局、</w:t>
      </w:r>
      <w:r>
        <w:rPr>
          <w:rFonts w:hint="default" w:ascii="楷体_GB2312" w:hAnsi="楷体_GB2312" w:eastAsia="楷体_GB2312" w:cs="楷体_GB2312"/>
          <w:color w:val="000000"/>
          <w:sz w:val="32"/>
          <w:szCs w:val="32"/>
          <w:highlight w:val="none"/>
          <w:lang w:val="en" w:eastAsia="zh-CN"/>
        </w:rPr>
        <w:t>市府办、</w:t>
      </w:r>
      <w:r>
        <w:rPr>
          <w:rFonts w:hint="eastAsia" w:ascii="楷体_GB2312" w:hAnsi="楷体_GB2312" w:eastAsia="楷体_GB2312" w:cs="楷体_GB2312"/>
          <w:color w:val="000000"/>
          <w:sz w:val="32"/>
          <w:szCs w:val="32"/>
          <w:highlight w:val="none"/>
          <w:lang w:val="en-US" w:eastAsia="zh-CN"/>
        </w:rPr>
        <w:t>市投促中心、</w:t>
      </w:r>
      <w:r>
        <w:rPr>
          <w:rFonts w:hint="eastAsia" w:ascii="楷体_GB2312" w:hAnsi="楷体_GB2312" w:eastAsia="楷体_GB2312" w:cs="楷体_GB2312"/>
          <w:color w:val="000000"/>
          <w:sz w:val="32"/>
          <w:szCs w:val="32"/>
          <w:highlight w:val="none"/>
          <w:u w:val="none"/>
          <w:lang w:val="en-US" w:eastAsia="zh-CN"/>
        </w:rPr>
        <w:t>人行舟山市分行、</w:t>
      </w:r>
      <w:r>
        <w:rPr>
          <w:rFonts w:hint="eastAsia" w:ascii="楷体_GB2312" w:hAnsi="楷体_GB2312" w:eastAsia="楷体_GB2312" w:cs="楷体_GB2312"/>
          <w:color w:val="000000"/>
          <w:sz w:val="32"/>
          <w:szCs w:val="32"/>
          <w:highlight w:val="none"/>
          <w:lang w:val="en-US" w:eastAsia="zh-CN"/>
        </w:rPr>
        <w:t>舟山金融监管分局）</w:t>
      </w:r>
    </w:p>
    <w:p w14:paraId="0E60DF4D">
      <w:pPr>
        <w:keepNext w:val="0"/>
        <w:keepLines w:val="0"/>
        <w:pageBreakBefore w:val="0"/>
        <w:widowControl/>
        <w:suppressLineNumbers w:val="0"/>
        <w:kinsoku/>
        <w:overflowPunct/>
        <w:topLinePunct w:val="0"/>
        <w:autoSpaceDE/>
        <w:autoSpaceDN/>
        <w:bidi w:val="0"/>
        <w:adjustRightInd/>
        <w:snapToGrid/>
        <w:spacing w:line="560" w:lineRule="exact"/>
        <w:ind w:firstLine="642"/>
        <w:jc w:val="left"/>
        <w:textAlignment w:val="auto"/>
        <w:rPr>
          <w:rFonts w:hint="default"/>
          <w:lang w:val="en-US" w:eastAsia="zh-CN"/>
        </w:rPr>
      </w:pPr>
      <w:r>
        <w:rPr>
          <w:rFonts w:hint="eastAsia" w:ascii="仿宋_GB2312" w:hAnsi="仿宋_GB2312" w:eastAsia="仿宋_GB2312" w:cs="仿宋_GB2312"/>
          <w:b/>
          <w:bCs/>
          <w:color w:val="000000"/>
          <w:kern w:val="2"/>
          <w:sz w:val="32"/>
          <w:szCs w:val="32"/>
          <w:lang w:val="en-US" w:eastAsia="zh-CN" w:bidi="ar-SA"/>
        </w:rPr>
        <w:t>4.构筑人才队伍支撑。</w:t>
      </w:r>
      <w:r>
        <w:rPr>
          <w:rFonts w:hint="default" w:ascii="仿宋_GB2312" w:hAnsi="仿宋_GB2312" w:eastAsia="仿宋_GB2312" w:cs="仿宋_GB2312"/>
          <w:b w:val="0"/>
          <w:bCs w:val="0"/>
          <w:color w:val="000000"/>
          <w:kern w:val="2"/>
          <w:sz w:val="32"/>
          <w:szCs w:val="32"/>
          <w:lang w:val="en-US" w:eastAsia="zh-CN" w:bidi="ar-SA"/>
        </w:rPr>
        <w:t>依</w:t>
      </w:r>
      <w:r>
        <w:rPr>
          <w:rFonts w:hint="default" w:ascii="仿宋_GB2312" w:hAnsi="仿宋_GB2312" w:eastAsia="仿宋_GB2312" w:cs="仿宋_GB2312"/>
          <w:b w:val="0"/>
          <w:bCs w:val="0"/>
          <w:color w:val="000000"/>
          <w:kern w:val="0"/>
          <w:sz w:val="32"/>
          <w:szCs w:val="32"/>
          <w:lang w:val="en-US" w:eastAsia="zh-CN" w:bidi="ar-SA"/>
        </w:rPr>
        <w:t>托国家、省、市各级重点人才工程，精准引</w:t>
      </w:r>
      <w:r>
        <w:rPr>
          <w:rFonts w:hint="eastAsia" w:ascii="仿宋_GB2312" w:hAnsi="仿宋_GB2312" w:eastAsia="仿宋_GB2312" w:cs="仿宋_GB2312"/>
          <w:b w:val="0"/>
          <w:bCs w:val="0"/>
          <w:color w:val="000000"/>
          <w:kern w:val="0"/>
          <w:sz w:val="32"/>
          <w:szCs w:val="32"/>
          <w:lang w:val="en-US" w:eastAsia="zh-CN" w:bidi="ar-SA"/>
        </w:rPr>
        <w:t>育</w:t>
      </w:r>
      <w:r>
        <w:rPr>
          <w:rFonts w:hint="default" w:ascii="仿宋_GB2312" w:hAnsi="仿宋_GB2312" w:eastAsia="仿宋_GB2312" w:cs="仿宋_GB2312"/>
          <w:b w:val="0"/>
          <w:bCs w:val="0"/>
          <w:color w:val="000000"/>
          <w:kern w:val="0"/>
          <w:sz w:val="32"/>
          <w:szCs w:val="32"/>
          <w:lang w:val="en-US" w:eastAsia="zh-CN" w:bidi="ar-SA"/>
        </w:rPr>
        <w:t>新材料领域急需的领军人才、创新团队和高技能人才。支持浙江大学海洋学院、浙江海洋大学等本地高校院所加强新材料学科专业建设，深化产教融合，与龙头企业共建联合实验室、研究生培养基地和实习实训中心</w:t>
      </w:r>
      <w:r>
        <w:rPr>
          <w:rFonts w:hint="eastAsia" w:ascii="仿宋_GB2312" w:hAnsi="仿宋_GB2312" w:eastAsia="仿宋_GB2312" w:cs="仿宋_GB2312"/>
          <w:b w:val="0"/>
          <w:bCs w:val="0"/>
          <w:color w:val="000000"/>
          <w:kern w:val="0"/>
          <w:sz w:val="32"/>
          <w:szCs w:val="32"/>
          <w:lang w:val="en-US" w:eastAsia="zh-CN" w:bidi="ar-SA"/>
        </w:rPr>
        <w:t>，</w:t>
      </w:r>
      <w:r>
        <w:rPr>
          <w:rFonts w:hint="default" w:ascii="仿宋_GB2312" w:hAnsi="仿宋_GB2312" w:eastAsia="仿宋_GB2312" w:cs="仿宋_GB2312"/>
          <w:b w:val="0"/>
          <w:bCs w:val="0"/>
          <w:color w:val="000000"/>
          <w:kern w:val="0"/>
          <w:sz w:val="32"/>
          <w:szCs w:val="32"/>
          <w:lang w:val="en-US" w:eastAsia="zh-CN" w:bidi="ar-SA"/>
        </w:rPr>
        <w:t>定向培养企业急需的工程技术人才和技能型人才。鼓励企业通过“揭榜挂帅”等方式，面向全球招引高层次技术人才。定期举办新材料产业技术人才对接会，搭建企业与人才双向选择平台。（</w:t>
      </w:r>
      <w:r>
        <w:rPr>
          <w:rFonts w:hint="default" w:ascii="楷体_GB2312" w:hAnsi="楷体_GB2312" w:eastAsia="楷体_GB2312" w:cs="楷体_GB2312"/>
          <w:b w:val="0"/>
          <w:color w:val="000000"/>
          <w:kern w:val="2"/>
          <w:sz w:val="32"/>
          <w:szCs w:val="32"/>
          <w:highlight w:val="none"/>
          <w:lang w:val="en-US" w:eastAsia="zh-CN" w:bidi="ar-SA"/>
        </w:rPr>
        <w:t>责任单位：市</w:t>
      </w:r>
      <w:r>
        <w:rPr>
          <w:rFonts w:hint="eastAsia" w:ascii="楷体_GB2312" w:hAnsi="楷体_GB2312" w:eastAsia="楷体_GB2312" w:cs="楷体_GB2312"/>
          <w:b w:val="0"/>
          <w:color w:val="000000"/>
          <w:kern w:val="2"/>
          <w:sz w:val="32"/>
          <w:szCs w:val="32"/>
          <w:highlight w:val="none"/>
          <w:lang w:val="en-US" w:eastAsia="zh-CN" w:bidi="ar-SA"/>
        </w:rPr>
        <w:t>委</w:t>
      </w:r>
      <w:r>
        <w:rPr>
          <w:rFonts w:hint="default" w:ascii="楷体_GB2312" w:hAnsi="楷体_GB2312" w:eastAsia="楷体_GB2312" w:cs="楷体_GB2312"/>
          <w:b w:val="0"/>
          <w:color w:val="000000"/>
          <w:kern w:val="2"/>
          <w:sz w:val="32"/>
          <w:szCs w:val="32"/>
          <w:highlight w:val="none"/>
          <w:lang w:val="en-US" w:eastAsia="zh-CN" w:bidi="ar-SA"/>
        </w:rPr>
        <w:t>人才办、市人社局、市教育局、市科技局</w:t>
      </w:r>
      <w:r>
        <w:rPr>
          <w:rFonts w:hint="eastAsia" w:ascii="楷体_GB2312" w:hAnsi="楷体_GB2312" w:eastAsia="楷体_GB2312" w:cs="楷体_GB2312"/>
          <w:b w:val="0"/>
          <w:color w:val="000000"/>
          <w:kern w:val="2"/>
          <w:sz w:val="32"/>
          <w:szCs w:val="32"/>
          <w:highlight w:val="none"/>
          <w:lang w:val="en-US" w:eastAsia="zh-CN" w:bidi="ar-SA"/>
        </w:rPr>
        <w:t>、市经信局</w:t>
      </w:r>
      <w:r>
        <w:rPr>
          <w:rFonts w:hint="default" w:ascii="楷体_GB2312" w:hAnsi="楷体_GB2312" w:eastAsia="楷体_GB2312" w:cs="楷体_GB2312"/>
          <w:b w:val="0"/>
          <w:color w:val="000000"/>
          <w:kern w:val="2"/>
          <w:sz w:val="32"/>
          <w:szCs w:val="32"/>
          <w:highlight w:val="none"/>
          <w:lang w:val="en-US" w:eastAsia="zh-CN" w:bidi="ar-SA"/>
        </w:rPr>
        <w:t>）</w:t>
      </w:r>
    </w:p>
    <w:p w14:paraId="1FAE28C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1"/>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kern w:val="2"/>
          <w:sz w:val="32"/>
          <w:szCs w:val="32"/>
          <w:lang w:val="en-US" w:eastAsia="zh-CN" w:bidi="ar-SA"/>
        </w:rPr>
        <w:t>（三）</w:t>
      </w:r>
      <w:r>
        <w:rPr>
          <w:rFonts w:hint="eastAsia" w:ascii="楷体_GB2312" w:hAnsi="楷体_GB2312" w:eastAsia="楷体_GB2312" w:cs="楷体_GB2312"/>
          <w:b/>
          <w:bCs/>
          <w:color w:val="000000"/>
          <w:sz w:val="32"/>
          <w:szCs w:val="32"/>
          <w:lang w:val="en-US" w:eastAsia="zh-CN"/>
        </w:rPr>
        <w:t>深化项目引育并举，加速壮大特色产业集群</w:t>
      </w:r>
    </w:p>
    <w:p w14:paraId="2EDCC07D">
      <w:pPr>
        <w:keepNext w:val="0"/>
        <w:keepLines w:val="0"/>
        <w:pageBreakBefore w:val="0"/>
        <w:widowControl/>
        <w:suppressLineNumbers w:val="0"/>
        <w:kinsoku/>
        <w:wordWrap/>
        <w:overflowPunct/>
        <w:topLinePunct w:val="0"/>
        <w:autoSpaceDE/>
        <w:autoSpaceDN/>
        <w:bidi w:val="0"/>
        <w:adjustRightInd/>
        <w:snapToGrid/>
        <w:spacing w:line="560" w:lineRule="exact"/>
        <w:ind w:firstLine="642"/>
        <w:jc w:val="both"/>
        <w:textAlignment w:val="auto"/>
        <w:rPr>
          <w:rFonts w:hint="default" w:ascii="楷体_GB2312" w:hAnsi="楷体_GB2312" w:eastAsia="楷体_GB2312" w:cs="楷体_GB2312"/>
          <w:b w:val="0"/>
          <w:color w:val="000000"/>
          <w:kern w:val="2"/>
          <w:sz w:val="32"/>
          <w:szCs w:val="32"/>
          <w:highlight w:val="none"/>
          <w:lang w:val="en-US" w:eastAsia="zh-CN" w:bidi="ar-SA"/>
        </w:rPr>
      </w:pPr>
      <w:r>
        <w:rPr>
          <w:rFonts w:hint="eastAsia" w:ascii="仿宋_GB2312" w:hAnsi="仿宋_GB2312" w:eastAsia="仿宋_GB2312" w:cs="仿宋_GB2312"/>
          <w:b/>
          <w:bCs/>
          <w:color w:val="000000"/>
          <w:kern w:val="2"/>
          <w:sz w:val="32"/>
          <w:szCs w:val="32"/>
          <w:lang w:val="en-US" w:eastAsia="zh-CN" w:bidi="ar-SA"/>
        </w:rPr>
        <w:t>1.</w:t>
      </w:r>
      <w:r>
        <w:rPr>
          <w:rFonts w:hint="default" w:ascii="仿宋_GB2312" w:hAnsi="仿宋_GB2312" w:eastAsia="仿宋_GB2312" w:cs="仿宋_GB2312"/>
          <w:b/>
          <w:bCs/>
          <w:color w:val="000000"/>
          <w:kern w:val="2"/>
          <w:sz w:val="32"/>
          <w:szCs w:val="32"/>
          <w:lang w:val="en-US" w:eastAsia="zh-CN" w:bidi="ar-SA"/>
        </w:rPr>
        <w:t>培育壮大龙头企业。</w:t>
      </w:r>
      <w:r>
        <w:rPr>
          <w:rFonts w:hint="default" w:ascii="仿宋_GB2312" w:hAnsi="仿宋_GB2312" w:eastAsia="仿宋_GB2312" w:cs="仿宋_GB2312"/>
          <w:b w:val="0"/>
          <w:bCs/>
          <w:color w:val="000000"/>
          <w:kern w:val="0"/>
          <w:sz w:val="32"/>
          <w:szCs w:val="32"/>
          <w:lang w:val="en-US" w:eastAsia="zh-CN" w:bidi="ar"/>
        </w:rPr>
        <w:t>聚焦新材料重点产业链，着力打造一批具有行业引领力的链主型企业和雄鹰企业。围绕高端功能膜材料、</w:t>
      </w:r>
      <w:r>
        <w:rPr>
          <w:rFonts w:hint="eastAsia" w:ascii="仿宋_GB2312" w:hAnsi="仿宋_GB2312" w:eastAsia="仿宋_GB2312" w:cs="仿宋_GB2312"/>
          <w:b w:val="0"/>
          <w:bCs/>
          <w:color w:val="000000"/>
          <w:kern w:val="0"/>
          <w:sz w:val="32"/>
          <w:szCs w:val="32"/>
          <w:lang w:val="en-US" w:eastAsia="zh-CN" w:bidi="ar"/>
        </w:rPr>
        <w:t>高端聚烯烃、</w:t>
      </w:r>
      <w:r>
        <w:rPr>
          <w:rFonts w:hint="default" w:ascii="仿宋_GB2312" w:hAnsi="仿宋_GB2312" w:eastAsia="仿宋_GB2312" w:cs="仿宋_GB2312"/>
          <w:b w:val="0"/>
          <w:bCs/>
          <w:color w:val="000000"/>
          <w:kern w:val="0"/>
          <w:sz w:val="32"/>
          <w:szCs w:val="32"/>
          <w:lang w:val="en-US" w:eastAsia="zh-CN" w:bidi="ar"/>
        </w:rPr>
        <w:t>新能源电池等五大产业链，优选</w:t>
      </w:r>
      <w:r>
        <w:rPr>
          <w:rFonts w:hint="eastAsia" w:ascii="仿宋_GB2312" w:hAnsi="仿宋_GB2312" w:eastAsia="仿宋_GB2312" w:cs="仿宋_GB2312"/>
          <w:b w:val="0"/>
          <w:bCs/>
          <w:color w:val="000000"/>
          <w:kern w:val="0"/>
          <w:sz w:val="32"/>
          <w:szCs w:val="32"/>
          <w:lang w:val="en-US" w:eastAsia="zh-CN" w:bidi="ar"/>
        </w:rPr>
        <w:t>浙石化、聚泰新能源等</w:t>
      </w:r>
      <w:r>
        <w:rPr>
          <w:rFonts w:hint="default" w:ascii="仿宋_GB2312" w:hAnsi="仿宋_GB2312" w:eastAsia="仿宋_GB2312" w:cs="仿宋_GB2312"/>
          <w:b w:val="0"/>
          <w:bCs/>
          <w:color w:val="000000"/>
          <w:kern w:val="0"/>
          <w:sz w:val="32"/>
          <w:szCs w:val="32"/>
          <w:lang w:val="en-US" w:eastAsia="zh-CN" w:bidi="ar"/>
        </w:rPr>
        <w:t>一批掌握核心技术、辐射带动力强的企业作为链主培育对象。探索建立“链主+配套”协同发展机制，</w:t>
      </w:r>
      <w:r>
        <w:rPr>
          <w:rFonts w:hint="eastAsia" w:ascii="仿宋_GB2312" w:hAnsi="仿宋_GB2312" w:eastAsia="仿宋_GB2312" w:cs="仿宋_GB2312"/>
          <w:b w:val="0"/>
          <w:bCs w:val="0"/>
          <w:color w:val="000000"/>
          <w:kern w:val="2"/>
          <w:sz w:val="32"/>
          <w:szCs w:val="32"/>
          <w:lang w:val="en-US" w:eastAsia="zh-CN" w:bidi="ar-SA"/>
        </w:rPr>
        <w:t>充分发挥链主龙头企业引领作用，通过配套协作、合资合作、技术孵化、场景开放等方式，带动中小配套企业融入主干产业链供应链，积极培育中小配套企业向新向高。根据企业需求举办新材料产业链供需对接会，推动石化原料、新材料产品与船舶海工、高端装备、金属加工等本地终端应用深度配套，持续提升产业链整体韧性。</w:t>
      </w:r>
      <w:r>
        <w:rPr>
          <w:rFonts w:hint="default" w:ascii="楷体_GB2312" w:hAnsi="楷体_GB2312" w:eastAsia="楷体_GB2312" w:cs="楷体_GB2312"/>
          <w:b w:val="0"/>
          <w:color w:val="000000"/>
          <w:kern w:val="2"/>
          <w:sz w:val="32"/>
          <w:szCs w:val="32"/>
          <w:highlight w:val="none"/>
          <w:lang w:val="en-US" w:eastAsia="zh-CN" w:bidi="ar-SA"/>
        </w:rPr>
        <w:t>（责任单位：市经信局、</w:t>
      </w:r>
      <w:r>
        <w:rPr>
          <w:rFonts w:hint="eastAsia" w:ascii="楷体_GB2312" w:hAnsi="楷体_GB2312" w:eastAsia="楷体_GB2312" w:cs="楷体_GB2312"/>
          <w:b w:val="0"/>
          <w:color w:val="000000"/>
          <w:kern w:val="2"/>
          <w:sz w:val="32"/>
          <w:szCs w:val="32"/>
          <w:highlight w:val="none"/>
          <w:lang w:val="en-US" w:eastAsia="zh-CN" w:bidi="ar-SA"/>
        </w:rPr>
        <w:t>市投促中心</w:t>
      </w:r>
      <w:r>
        <w:rPr>
          <w:rFonts w:hint="default" w:ascii="楷体_GB2312" w:hAnsi="楷体_GB2312" w:eastAsia="楷体_GB2312" w:cs="楷体_GB2312"/>
          <w:b w:val="0"/>
          <w:color w:val="000000"/>
          <w:kern w:val="2"/>
          <w:sz w:val="32"/>
          <w:szCs w:val="32"/>
          <w:highlight w:val="none"/>
          <w:lang w:val="en-US" w:eastAsia="zh-CN" w:bidi="ar-SA"/>
        </w:rPr>
        <w:t>）</w:t>
      </w:r>
    </w:p>
    <w:p w14:paraId="420DFC07">
      <w:pPr>
        <w:keepNext w:val="0"/>
        <w:keepLines w:val="0"/>
        <w:pageBreakBefore w:val="0"/>
        <w:widowControl/>
        <w:suppressLineNumbers w:val="0"/>
        <w:kinsoku/>
        <w:wordWrap/>
        <w:overflowPunct/>
        <w:topLinePunct w:val="0"/>
        <w:autoSpaceDE/>
        <w:autoSpaceDN/>
        <w:bidi w:val="0"/>
        <w:adjustRightInd/>
        <w:snapToGrid/>
        <w:spacing w:line="560" w:lineRule="exact"/>
        <w:ind w:firstLine="642"/>
        <w:jc w:val="both"/>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2.闭环推进重大项目攻坚。</w:t>
      </w:r>
      <w:r>
        <w:rPr>
          <w:rFonts w:hint="eastAsia" w:ascii="仿宋_GB2312" w:hAnsi="仿宋_GB2312" w:eastAsia="仿宋_GB2312" w:cs="仿宋_GB2312"/>
          <w:b w:val="0"/>
          <w:bCs w:val="0"/>
          <w:color w:val="000000"/>
          <w:kern w:val="2"/>
          <w:sz w:val="32"/>
          <w:szCs w:val="32"/>
          <w:lang w:val="en-US" w:eastAsia="zh-CN" w:bidi="ar-SA"/>
        </w:rPr>
        <w:t>深化全市项目“三分协调”推进机制，建立新材料重点项目动态储备库、建设推进库、竣工投产库，实行清单化管理、项目化攻坚、挂图式作战。坚持“要素跟着项目走、服务围着项目转”，统筹强化用地、用能、排污、审批、融资全要素保障，分级分类、梯次推进项目建设。全力推动浙石化高端新材料、金塘新材料、华业塑机穆岙基地、正源新能源高端紧固件AI智慧工厂等续建项目早日竣工投产；提速推进博雅聚力、糖能科技等前沿新材料项目建设；加快虎石微晶新材料、新型气凝胶隔热保温材料等新项目开工落地，形成“竣工一批、在建一批、开工一批、储备一批”的滚动发展格局，持续释放产业增量、做强集群支撑。</w:t>
      </w:r>
      <w:r>
        <w:rPr>
          <w:rFonts w:hint="eastAsia" w:ascii="楷体_GB2312" w:hAnsi="楷体_GB2312" w:eastAsia="楷体_GB2312" w:cs="楷体_GB2312"/>
          <w:b w:val="0"/>
          <w:bCs/>
          <w:color w:val="000000"/>
          <w:kern w:val="2"/>
          <w:sz w:val="32"/>
          <w:szCs w:val="32"/>
          <w:highlight w:val="none"/>
          <w:lang w:val="en-US" w:eastAsia="zh-CN" w:bidi="ar-SA"/>
        </w:rPr>
        <w:t>（责任单位：市经信局、市发改委、市资源规划局、市生态环境局）</w:t>
      </w:r>
    </w:p>
    <w:p w14:paraId="222C2A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jc w:val="both"/>
        <w:textAlignment w:val="auto"/>
        <w:rPr>
          <w:rFonts w:hint="eastAsia" w:ascii="楷体_GB2312" w:hAnsi="楷体_GB2312" w:eastAsia="楷体_GB2312" w:cs="楷体_GB2312"/>
          <w:b w:val="0"/>
          <w:bCs/>
          <w:color w:val="000000"/>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3.开展产业链精准靶向招商。</w:t>
      </w:r>
      <w:r>
        <w:rPr>
          <w:rFonts w:hint="default" w:ascii="仿宋_GB2312" w:hAnsi="仿宋_GB2312" w:eastAsia="仿宋_GB2312" w:cs="仿宋_GB2312"/>
          <w:b w:val="0"/>
          <w:bCs/>
          <w:color w:val="000000"/>
          <w:sz w:val="32"/>
          <w:szCs w:val="32"/>
          <w:lang w:val="en-US" w:eastAsia="zh-CN"/>
        </w:rPr>
        <w:t>持续优化全市招商工作体系，完善招商“四库一图”，健全项目全周期闭环管理、市县一体联动招商、全域协同招商机制。以产业链全景图为导航，找准关键断点、薄弱环节</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展“按图寻企、定点攻坚”式精准招商。</w:t>
      </w:r>
      <w:r>
        <w:rPr>
          <w:rFonts w:hint="default" w:ascii="仿宋_GB2312" w:hAnsi="仿宋_GB2312" w:eastAsia="仿宋_GB2312" w:cs="仿宋_GB2312"/>
          <w:b/>
          <w:bCs w:val="0"/>
          <w:color w:val="000000"/>
          <w:sz w:val="32"/>
          <w:szCs w:val="32"/>
          <w:lang w:val="en-US" w:eastAsia="zh-CN"/>
        </w:rPr>
        <w:t>石化新材料领域，</w:t>
      </w:r>
      <w:r>
        <w:rPr>
          <w:rFonts w:hint="default" w:ascii="仿宋_GB2312" w:hAnsi="仿宋_GB2312" w:eastAsia="仿宋_GB2312" w:cs="仿宋_GB2312"/>
          <w:b w:val="0"/>
          <w:bCs/>
          <w:color w:val="000000"/>
          <w:sz w:val="32"/>
          <w:szCs w:val="32"/>
          <w:lang w:val="en-US" w:eastAsia="zh-CN"/>
        </w:rPr>
        <w:t>瞄准陶氏化学</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霍尼韦尔</w:t>
      </w:r>
      <w:r>
        <w:rPr>
          <w:rFonts w:hint="eastAsia" w:ascii="仿宋_GB2312" w:hAnsi="仿宋_GB2312" w:eastAsia="仿宋_GB2312" w:cs="仿宋_GB2312"/>
          <w:b w:val="0"/>
          <w:bCs/>
          <w:color w:val="000000"/>
          <w:sz w:val="32"/>
          <w:szCs w:val="32"/>
          <w:lang w:val="en-US" w:eastAsia="zh-CN"/>
        </w:rPr>
        <w:t>等</w:t>
      </w:r>
      <w:r>
        <w:rPr>
          <w:rFonts w:hint="default" w:ascii="仿宋_GB2312" w:hAnsi="仿宋_GB2312" w:eastAsia="仿宋_GB2312" w:cs="仿宋_GB2312"/>
          <w:b w:val="0"/>
          <w:bCs/>
          <w:color w:val="000000"/>
          <w:sz w:val="32"/>
          <w:szCs w:val="32"/>
          <w:lang w:val="en-US" w:eastAsia="zh-CN"/>
        </w:rPr>
        <w:t>全球一流石化企业与国内细分领域龙头，大力引进高端聚烯烃、高性能纤维等领域项目。同步围绕聚酰亚胺、特种工程塑料、高性能膜材料等细分赛道，加快引进一批掌握核心技术的专精特新企业和细分领域隐形冠军，推动石化产业从“油头”向“化尾”纵深延伸。</w:t>
      </w:r>
      <w:r>
        <w:rPr>
          <w:rFonts w:hint="default" w:ascii="仿宋_GB2312" w:hAnsi="仿宋_GB2312" w:eastAsia="仿宋_GB2312" w:cs="仿宋_GB2312"/>
          <w:b/>
          <w:bCs w:val="0"/>
          <w:color w:val="000000"/>
          <w:sz w:val="32"/>
          <w:szCs w:val="32"/>
          <w:lang w:val="en-US" w:eastAsia="zh-CN"/>
        </w:rPr>
        <w:t>金属新材料领域，</w:t>
      </w:r>
      <w:r>
        <w:rPr>
          <w:rFonts w:hint="default" w:ascii="仿宋_GB2312" w:hAnsi="仿宋_GB2312" w:eastAsia="仿宋_GB2312" w:cs="仿宋_GB2312"/>
          <w:b w:val="0"/>
          <w:bCs/>
          <w:color w:val="000000"/>
          <w:sz w:val="32"/>
          <w:szCs w:val="32"/>
          <w:lang w:val="en-US" w:eastAsia="zh-CN"/>
        </w:rPr>
        <w:t>聚焦高端紧固件、精密模具、轻量化汽车零部件、高附加值铜铝材加工等方向，加快引进一批技术含量高、市场前景好的金属加工项目。</w:t>
      </w:r>
      <w:r>
        <w:rPr>
          <w:rFonts w:hint="eastAsia" w:ascii="楷体_GB2312" w:hAnsi="楷体_GB2312" w:eastAsia="楷体_GB2312" w:cs="楷体_GB2312"/>
          <w:b w:val="0"/>
          <w:color w:val="000000"/>
          <w:kern w:val="2"/>
          <w:sz w:val="32"/>
          <w:szCs w:val="32"/>
          <w:highlight w:val="none"/>
          <w:lang w:val="en-US" w:eastAsia="zh-CN" w:bidi="ar-SA"/>
        </w:rPr>
        <w:t>(责任单位：市投促中心、市经信局)</w:t>
      </w:r>
    </w:p>
    <w:p w14:paraId="1104C73B">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eastAsia" w:ascii="黑体" w:hAnsi="黑体" w:eastAsia="黑体" w:cs="Times New Roman"/>
          <w:color w:val="000000"/>
          <w:sz w:val="32"/>
          <w:szCs w:val="32"/>
          <w:lang w:val="en-US" w:eastAsia="zh-CN"/>
        </w:rPr>
      </w:pPr>
      <w:bookmarkStart w:id="0" w:name="_Toc92635569"/>
      <w:bookmarkStart w:id="1" w:name="_Toc92635465"/>
      <w:r>
        <w:rPr>
          <w:rFonts w:hint="eastAsia" w:ascii="黑体" w:hAnsi="黑体" w:eastAsia="黑体" w:cs="Times New Roman"/>
          <w:color w:val="000000"/>
          <w:sz w:val="32"/>
          <w:szCs w:val="32"/>
          <w:lang w:val="en-US" w:eastAsia="zh-CN"/>
        </w:rPr>
        <w:t>四、要素保障</w:t>
      </w:r>
    </w:p>
    <w:p w14:paraId="3A7227C1">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eastAsia" w:ascii="楷体_GB2312" w:hAnsi="楷体_GB2312" w:eastAsia="楷体_GB2312" w:cs="楷体_GB2312"/>
          <w:color w:val="000000"/>
          <w:kern w:val="2"/>
          <w:sz w:val="32"/>
          <w:szCs w:val="32"/>
          <w:highlight w:val="none"/>
          <w:lang w:val="en-US" w:eastAsia="zh-CN" w:bidi="ar-SA"/>
        </w:rPr>
      </w:pPr>
      <w:r>
        <w:rPr>
          <w:rFonts w:hint="eastAsia" w:ascii="仿宋_GB2312" w:hAnsi="仿宋_GB2312" w:eastAsia="仿宋_GB2312" w:cs="仿宋_GB2312"/>
          <w:b/>
          <w:bCs/>
          <w:color w:val="000000"/>
          <w:kern w:val="2"/>
          <w:sz w:val="32"/>
          <w:szCs w:val="32"/>
          <w:lang w:val="en-US" w:eastAsia="zh-CN" w:bidi="ar-SA"/>
        </w:rPr>
        <w:t>1.加快园区基础设施提档升级。</w:t>
      </w:r>
      <w:r>
        <w:rPr>
          <w:rFonts w:hint="eastAsia" w:ascii="仿宋_GB2312" w:hAnsi="仿宋_GB2312" w:eastAsia="仿宋_GB2312" w:cs="仿宋_GB2312"/>
          <w:color w:val="000000"/>
          <w:sz w:val="32"/>
          <w:szCs w:val="32"/>
          <w:lang w:val="en-US" w:eastAsia="zh-CN"/>
        </w:rPr>
        <w:t>对标省化工园区综合评价标准，系统推进石化基地及各拓展区基础设施提质增效，加快建设污水处理、危化品专用停车场、智慧化监管平台等关键配套，全面提升园区安全管控、绿色低碳和智能治理水平。持续完善危化品集疏运体系，织密岛际危化品运输通道网络，有效降低企业物流成本、保障重大项目运输需求，为全市石化新材料产业稳定运行、扩容提质提供坚实硬件支撑。</w:t>
      </w:r>
      <w:r>
        <w:rPr>
          <w:rFonts w:hint="eastAsia" w:ascii="楷体_GB2312" w:hAnsi="楷体_GB2312" w:eastAsia="楷体_GB2312" w:cs="楷体_GB2312"/>
          <w:color w:val="000000"/>
          <w:kern w:val="2"/>
          <w:sz w:val="32"/>
          <w:szCs w:val="32"/>
          <w:highlight w:val="none"/>
          <w:lang w:val="en-US" w:eastAsia="zh-CN" w:bidi="ar-SA"/>
        </w:rPr>
        <w:t>（责任单位：市经信局、市生态环境局、市应急管理局、市交通局、市港航和口岸局）</w:t>
      </w:r>
    </w:p>
    <w:p w14:paraId="1EE95A36">
      <w:pPr>
        <w:pStyle w:val="8"/>
        <w:keepNext w:val="0"/>
        <w:keepLines w:val="0"/>
        <w:pageBreakBefore w:val="0"/>
        <w:widowControl/>
        <w:suppressLineNumbers w:val="0"/>
        <w:shd w:val="clear" w:color="auto" w:fill="FFFFFF"/>
        <w:kinsoku/>
        <w:overflowPunct/>
        <w:topLinePunct w:val="0"/>
        <w:autoSpaceDE/>
        <w:autoSpaceDN/>
        <w:bidi w:val="0"/>
        <w:adjustRightInd/>
        <w:snapToGrid/>
        <w:spacing w:beforeAutospacing="0" w:afterAutospacing="0" w:line="560" w:lineRule="exact"/>
        <w:ind w:left="0" w:right="0" w:firstLine="642"/>
        <w:textAlignment w:val="auto"/>
        <w:rPr>
          <w:rFonts w:hint="default" w:ascii="楷体_GB2312" w:hAnsi="楷体_GB2312" w:eastAsia="楷体_GB2312" w:cs="楷体_GB2312"/>
          <w:b w:val="0"/>
          <w:color w:val="000000"/>
          <w:kern w:val="2"/>
          <w:sz w:val="32"/>
          <w:szCs w:val="32"/>
          <w:highlight w:val="none"/>
          <w:u w:val="non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2.</w:t>
      </w:r>
      <w:r>
        <w:rPr>
          <w:rFonts w:hint="default" w:ascii="仿宋_GB2312" w:hAnsi="仿宋_GB2312" w:eastAsia="仿宋_GB2312" w:cs="仿宋_GB2312"/>
          <w:b/>
          <w:bCs/>
          <w:color w:val="000000"/>
          <w:kern w:val="2"/>
          <w:sz w:val="32"/>
          <w:szCs w:val="32"/>
          <w:u w:val="none"/>
          <w:lang w:val="en-US" w:eastAsia="zh-CN" w:bidi="ar-SA"/>
        </w:rPr>
        <w:t>强化能耗排放统筹</w:t>
      </w:r>
      <w:r>
        <w:rPr>
          <w:rFonts w:hint="eastAsia" w:ascii="仿宋_GB2312" w:hAnsi="仿宋_GB2312" w:eastAsia="仿宋_GB2312" w:cs="仿宋_GB2312"/>
          <w:b/>
          <w:bCs/>
          <w:color w:val="000000"/>
          <w:kern w:val="2"/>
          <w:sz w:val="32"/>
          <w:szCs w:val="32"/>
          <w:u w:val="none"/>
          <w:lang w:val="en-US" w:eastAsia="zh-CN" w:bidi="ar-SA"/>
        </w:rPr>
        <w:t>保障</w:t>
      </w:r>
      <w:r>
        <w:rPr>
          <w:rFonts w:hint="default" w:ascii="仿宋_GB2312" w:hAnsi="仿宋_GB2312" w:eastAsia="仿宋_GB2312" w:cs="仿宋_GB2312"/>
          <w:b/>
          <w:bCs/>
          <w:color w:val="000000"/>
          <w:kern w:val="2"/>
          <w:sz w:val="32"/>
          <w:szCs w:val="32"/>
          <w:u w:val="none"/>
          <w:lang w:val="en-US" w:eastAsia="zh-CN" w:bidi="ar-SA"/>
        </w:rPr>
        <w:t>。</w:t>
      </w:r>
      <w:r>
        <w:rPr>
          <w:rFonts w:hint="default" w:ascii="仿宋_GB2312" w:hAnsi="仿宋_GB2312" w:eastAsia="仿宋_GB2312" w:cs="仿宋_GB2312"/>
          <w:color w:val="auto"/>
          <w:kern w:val="2"/>
          <w:sz w:val="32"/>
          <w:szCs w:val="32"/>
          <w:u w:val="none"/>
          <w:lang w:val="en-US" w:eastAsia="zh-CN" w:bidi="ar-SA"/>
        </w:rPr>
        <w:t>建立项目准入审核机制，严控高耗能、高排放项目准入，从源头规避“两高”项</w:t>
      </w:r>
      <w:r>
        <w:rPr>
          <w:rFonts w:hint="default" w:ascii="仿宋_GB2312" w:hAnsi="仿宋_GB2312" w:eastAsia="仿宋_GB2312" w:cs="仿宋_GB2312"/>
          <w:color w:val="000000"/>
          <w:kern w:val="2"/>
          <w:sz w:val="32"/>
          <w:szCs w:val="32"/>
          <w:u w:val="none"/>
          <w:lang w:val="en-US" w:eastAsia="zh-CN" w:bidi="ar-SA"/>
        </w:rPr>
        <w:t>目盲目引进。强化要素统筹保障，</w:t>
      </w:r>
      <w:r>
        <w:rPr>
          <w:rFonts w:hint="eastAsia" w:ascii="仿宋_GB2312" w:hAnsi="仿宋_GB2312" w:eastAsia="仿宋_GB2312" w:cs="仿宋_GB2312"/>
          <w:color w:val="000000"/>
          <w:kern w:val="2"/>
          <w:sz w:val="32"/>
          <w:szCs w:val="32"/>
          <w:u w:val="none"/>
          <w:lang w:val="en-US" w:eastAsia="zh-CN" w:bidi="ar-SA"/>
        </w:rPr>
        <w:t>重点支持</w:t>
      </w:r>
      <w:r>
        <w:rPr>
          <w:rFonts w:hint="default" w:ascii="仿宋_GB2312" w:hAnsi="仿宋_GB2312" w:eastAsia="仿宋_GB2312" w:cs="仿宋_GB2312"/>
          <w:color w:val="000000"/>
          <w:kern w:val="2"/>
          <w:sz w:val="32"/>
          <w:szCs w:val="32"/>
          <w:u w:val="none"/>
          <w:lang w:val="en-US" w:eastAsia="zh-CN" w:bidi="ar-SA"/>
        </w:rPr>
        <w:t>技术先进、效益突出、单位能耗产出高的优质新材料项目</w:t>
      </w:r>
      <w:r>
        <w:rPr>
          <w:rFonts w:hint="eastAsia" w:ascii="仿宋_GB2312" w:hAnsi="仿宋_GB2312" w:eastAsia="仿宋_GB2312" w:cs="仿宋_GB2312"/>
          <w:color w:val="000000"/>
          <w:kern w:val="2"/>
          <w:sz w:val="32"/>
          <w:szCs w:val="32"/>
          <w:u w:val="none"/>
          <w:lang w:val="en-US" w:eastAsia="zh-CN" w:bidi="ar-SA"/>
        </w:rPr>
        <w:t>。建</w:t>
      </w:r>
      <w:r>
        <w:rPr>
          <w:rFonts w:hint="default" w:ascii="仿宋_GB2312" w:hAnsi="仿宋_GB2312" w:eastAsia="仿宋_GB2312" w:cs="仿宋_GB2312"/>
          <w:color w:val="000000"/>
          <w:kern w:val="2"/>
          <w:sz w:val="32"/>
          <w:szCs w:val="32"/>
          <w:u w:val="none"/>
          <w:lang w:val="en-US" w:eastAsia="zh-CN" w:bidi="ar-SA"/>
        </w:rPr>
        <w:t>立要素保障协同联动机制，明确各相关部门主体责任，确保重点项目应保尽保。</w:t>
      </w:r>
      <w:r>
        <w:rPr>
          <w:rFonts w:hint="default" w:ascii="仿宋_GB2312" w:hAnsi="仿宋_GB2312" w:eastAsia="仿宋_GB2312" w:cs="仿宋_GB2312"/>
          <w:b w:val="0"/>
          <w:bCs w:val="0"/>
          <w:color w:val="000000"/>
          <w:kern w:val="0"/>
          <w:sz w:val="32"/>
          <w:szCs w:val="32"/>
          <w:u w:val="none"/>
          <w:lang w:val="en-US" w:eastAsia="zh-CN" w:bidi="ar-SA"/>
        </w:rPr>
        <w:t>（</w:t>
      </w:r>
      <w:r>
        <w:rPr>
          <w:rFonts w:hint="default" w:ascii="楷体_GB2312" w:hAnsi="楷体_GB2312" w:eastAsia="楷体_GB2312" w:cs="楷体_GB2312"/>
          <w:b w:val="0"/>
          <w:color w:val="000000"/>
          <w:kern w:val="2"/>
          <w:sz w:val="32"/>
          <w:szCs w:val="32"/>
          <w:highlight w:val="none"/>
          <w:u w:val="none"/>
          <w:lang w:val="en-US" w:eastAsia="zh-CN" w:bidi="ar-SA"/>
        </w:rPr>
        <w:t>责任单位：市发改委、市生态环境局、市资源规划局）</w:t>
      </w:r>
    </w:p>
    <w:p w14:paraId="08D691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color w:val="000000"/>
          <w:kern w:val="2"/>
          <w:sz w:val="32"/>
          <w:szCs w:val="32"/>
          <w:highlight w:val="none"/>
          <w:u w:val="single"/>
          <w:lang w:val="en-US" w:eastAsia="zh-CN" w:bidi="ar-SA"/>
        </w:rPr>
      </w:pPr>
      <w:r>
        <w:rPr>
          <w:rFonts w:hint="eastAsia" w:ascii="仿宋_GB2312" w:hAnsi="仿宋_GB2312" w:eastAsia="仿宋_GB2312" w:cs="仿宋_GB2312"/>
          <w:b/>
          <w:bCs/>
          <w:color w:val="000000"/>
          <w:kern w:val="2"/>
          <w:sz w:val="32"/>
          <w:szCs w:val="32"/>
          <w:u w:val="none"/>
          <w:lang w:val="en-US" w:eastAsia="zh-CN" w:bidi="ar-SA"/>
        </w:rPr>
        <w:t>3.加大产业政策精准扶持力度。</w:t>
      </w:r>
      <w:r>
        <w:rPr>
          <w:rFonts w:hint="eastAsia" w:ascii="仿宋_GB2312" w:hAnsi="仿宋_GB2312" w:eastAsia="仿宋_GB2312" w:cs="仿宋_GB2312"/>
          <w:b w:val="0"/>
          <w:bCs w:val="0"/>
          <w:color w:val="000000"/>
          <w:kern w:val="0"/>
          <w:sz w:val="32"/>
          <w:szCs w:val="32"/>
          <w:u w:val="none"/>
          <w:lang w:val="en-US" w:eastAsia="zh-CN" w:bidi="ar-SA"/>
        </w:rPr>
        <w:t>充分发挥市级基金的杠杆撬动作用</w:t>
      </w:r>
      <w:r>
        <w:rPr>
          <w:rFonts w:hint="default" w:ascii="仿宋_GB2312" w:hAnsi="仿宋_GB2312" w:eastAsia="仿宋_GB2312" w:cs="仿宋_GB2312"/>
          <w:b w:val="0"/>
          <w:bCs w:val="0"/>
          <w:color w:val="000000"/>
          <w:kern w:val="0"/>
          <w:sz w:val="32"/>
          <w:szCs w:val="32"/>
          <w:lang w:val="en-US" w:eastAsia="zh-CN" w:bidi="ar-SA"/>
        </w:rPr>
        <w:t>，加大对产业链关键环节和缺失环节项目基金扶持力度。积极对接国家战略，为符合条件的产业链重大项目申报“两重”“两新”超长期特别国债资金支持。</w:t>
      </w:r>
      <w:r>
        <w:rPr>
          <w:rFonts w:hint="eastAsia" w:ascii="仿宋_GB2312" w:hAnsi="仿宋_GB2312" w:eastAsia="仿宋_GB2312" w:cs="仿宋_GB2312"/>
          <w:color w:val="000000"/>
          <w:sz w:val="32"/>
          <w:szCs w:val="32"/>
          <w:lang w:val="en-US" w:eastAsia="zh-CN"/>
        </w:rPr>
        <w:t>支持重点企业绿色化转型发展，鼓励企业积极开展节能诊断、清洁生产</w:t>
      </w:r>
      <w:r>
        <w:rPr>
          <w:rFonts w:hint="eastAsia" w:ascii="仿宋_GB2312" w:hAnsi="仿宋_GB2312" w:eastAsia="仿宋_GB2312" w:cs="仿宋_GB2312"/>
          <w:sz w:val="32"/>
          <w:szCs w:val="32"/>
          <w:lang w:val="en-US" w:eastAsia="zh-CN"/>
        </w:rPr>
        <w:t>审核和绿色低碳（零碳）工厂创建。</w:t>
      </w:r>
      <w:r>
        <w:rPr>
          <w:rFonts w:hint="default" w:ascii="楷体_GB2312" w:hAnsi="楷体_GB2312" w:eastAsia="楷体_GB2312" w:cs="楷体_GB2312"/>
          <w:b w:val="0"/>
          <w:color w:val="000000"/>
          <w:kern w:val="2"/>
          <w:sz w:val="32"/>
          <w:szCs w:val="32"/>
          <w:highlight w:val="none"/>
          <w:lang w:val="en-US" w:eastAsia="zh-CN" w:bidi="ar-SA"/>
        </w:rPr>
        <w:t>（责任单位：市经信局</w:t>
      </w:r>
      <w:r>
        <w:rPr>
          <w:rFonts w:hint="eastAsia" w:ascii="楷体_GB2312" w:hAnsi="楷体_GB2312" w:eastAsia="楷体_GB2312" w:cs="楷体_GB2312"/>
          <w:b w:val="0"/>
          <w:color w:val="000000"/>
          <w:kern w:val="2"/>
          <w:sz w:val="32"/>
          <w:szCs w:val="32"/>
          <w:highlight w:val="none"/>
          <w:lang w:val="en-US" w:eastAsia="zh-CN" w:bidi="ar-SA"/>
        </w:rPr>
        <w:t>、</w:t>
      </w:r>
      <w:r>
        <w:rPr>
          <w:rFonts w:hint="default" w:ascii="楷体_GB2312" w:hAnsi="楷体_GB2312" w:eastAsia="楷体_GB2312" w:cs="楷体_GB2312"/>
          <w:b w:val="0"/>
          <w:color w:val="000000"/>
          <w:kern w:val="2"/>
          <w:sz w:val="32"/>
          <w:szCs w:val="32"/>
          <w:highlight w:val="none"/>
          <w:lang w:val="en-US" w:eastAsia="zh-CN" w:bidi="ar-SA"/>
        </w:rPr>
        <w:t>市财政局、市发改委、</w:t>
      </w:r>
      <w:r>
        <w:rPr>
          <w:rFonts w:hint="eastAsia" w:ascii="楷体_GB2312" w:hAnsi="楷体_GB2312" w:eastAsia="楷体_GB2312" w:cs="楷体_GB2312"/>
          <w:b w:val="0"/>
          <w:color w:val="000000"/>
          <w:kern w:val="2"/>
          <w:sz w:val="32"/>
          <w:szCs w:val="32"/>
          <w:highlight w:val="none"/>
          <w:lang w:val="en-US" w:eastAsia="zh-CN" w:bidi="ar-SA"/>
        </w:rPr>
        <w:t>市科技局</w:t>
      </w:r>
      <w:r>
        <w:rPr>
          <w:rFonts w:hint="default" w:ascii="楷体_GB2312" w:hAnsi="楷体_GB2312" w:eastAsia="楷体_GB2312" w:cs="楷体_GB2312"/>
          <w:b w:val="0"/>
          <w:color w:val="000000"/>
          <w:kern w:val="2"/>
          <w:sz w:val="32"/>
          <w:szCs w:val="32"/>
          <w:highlight w:val="none"/>
          <w:lang w:val="en-US" w:eastAsia="zh-CN" w:bidi="ar-SA"/>
        </w:rPr>
        <w:t>）</w:t>
      </w:r>
    </w:p>
    <w:p w14:paraId="393DA596">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eastAsia" w:ascii="黑体" w:hAnsi="黑体" w:eastAsia="黑体" w:cs="Times New Roman"/>
          <w:color w:val="000000"/>
          <w:sz w:val="32"/>
          <w:szCs w:val="32"/>
        </w:rPr>
      </w:pPr>
      <w:r>
        <w:rPr>
          <w:rFonts w:hint="eastAsia" w:ascii="黑体" w:hAnsi="黑体" w:eastAsia="黑体" w:cs="Times New Roman"/>
          <w:color w:val="000000"/>
          <w:sz w:val="32"/>
          <w:szCs w:val="32"/>
          <w:lang w:eastAsia="zh-CN"/>
        </w:rPr>
        <w:t>五、</w:t>
      </w:r>
      <w:r>
        <w:rPr>
          <w:rFonts w:hint="eastAsia" w:ascii="黑体" w:hAnsi="黑体" w:eastAsia="黑体" w:cs="Times New Roman"/>
          <w:color w:val="000000"/>
          <w:sz w:val="32"/>
          <w:szCs w:val="32"/>
        </w:rPr>
        <w:t>保障措施</w:t>
      </w:r>
      <w:bookmarkEnd w:id="0"/>
      <w:bookmarkEnd w:id="1"/>
      <w:bookmarkStart w:id="2" w:name="_Toc92635570"/>
      <w:bookmarkStart w:id="3" w:name="_Toc92635466"/>
    </w:p>
    <w:p w14:paraId="440846F2">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default" w:ascii="仿宋_GB2312" w:hAnsi="仿宋_GB2312" w:eastAsia="仿宋_GB2312" w:cs="仿宋_GB2312"/>
          <w:b w:val="0"/>
          <w:bCs w:val="0"/>
          <w:color w:val="000000"/>
          <w:kern w:val="0"/>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（一）加强组织领导</w:t>
      </w:r>
      <w:bookmarkEnd w:id="2"/>
      <w:bookmarkEnd w:id="3"/>
      <w:r>
        <w:rPr>
          <w:rFonts w:hint="eastAsia" w:ascii="楷体_GB2312" w:hAnsi="楷体_GB2312" w:eastAsia="楷体_GB2312" w:cs="楷体_GB2312"/>
          <w:b/>
          <w:bCs/>
          <w:color w:val="000000"/>
          <w:kern w:val="2"/>
          <w:sz w:val="32"/>
          <w:szCs w:val="32"/>
          <w:lang w:val="en-US" w:eastAsia="zh-CN" w:bidi="ar-SA"/>
        </w:rPr>
        <w:t>。</w:t>
      </w:r>
      <w:r>
        <w:rPr>
          <w:rFonts w:hint="default" w:ascii="仿宋_GB2312" w:hAnsi="仿宋_GB2312" w:eastAsia="仿宋_GB2312" w:cs="仿宋_GB2312"/>
          <w:b w:val="0"/>
          <w:bCs w:val="0"/>
          <w:color w:val="000000"/>
          <w:kern w:val="0"/>
          <w:sz w:val="32"/>
          <w:szCs w:val="32"/>
          <w:lang w:val="en-US" w:eastAsia="zh-CN" w:bidi="ar-SA"/>
        </w:rPr>
        <w:t>充分发挥七大攻坚战构建海洋特色现代化产业体系攻坚战指挥部统筹协调作用，明确年度目标任务，实行清单化管理、项目化推进、节点化服务。</w:t>
      </w:r>
    </w:p>
    <w:p w14:paraId="5771DF9A">
      <w:pPr>
        <w:keepNext w:val="0"/>
        <w:keepLines w:val="0"/>
        <w:pageBreakBefore w:val="0"/>
        <w:numPr>
          <w:ilvl w:val="0"/>
          <w:numId w:val="0"/>
        </w:numPr>
        <w:kinsoku/>
        <w:wordWrap/>
        <w:overflowPunct/>
        <w:topLinePunct w:val="0"/>
        <w:autoSpaceDE/>
        <w:autoSpaceDN/>
        <w:bidi w:val="0"/>
        <w:adjustRightInd/>
        <w:snapToGrid/>
        <w:spacing w:line="560" w:lineRule="exact"/>
        <w:ind w:firstLine="640"/>
        <w:jc w:val="both"/>
        <w:textAlignment w:val="auto"/>
        <w:outlineLvl w:val="0"/>
        <w:rPr>
          <w:rFonts w:hint="default" w:ascii="楷体_GB2312" w:hAnsi="楷体_GB2312" w:eastAsia="楷体_GB2312" w:cs="楷体_GB2312"/>
          <w:b w:val="0"/>
          <w:color w:val="000000"/>
          <w:kern w:val="2"/>
          <w:sz w:val="32"/>
          <w:szCs w:val="32"/>
          <w:highlight w:val="none"/>
          <w:lang w:val="en-US" w:eastAsia="zh-CN" w:bidi="ar-SA"/>
        </w:rPr>
      </w:pPr>
      <w:r>
        <w:rPr>
          <w:rFonts w:hint="eastAsia" w:ascii="楷体_GB2312" w:hAnsi="楷体_GB2312" w:eastAsia="楷体_GB2312" w:cs="楷体_GB2312"/>
          <w:b/>
          <w:bCs/>
          <w:color w:val="000000"/>
          <w:kern w:val="2"/>
          <w:sz w:val="32"/>
          <w:szCs w:val="32"/>
          <w:lang w:val="en-US" w:eastAsia="zh-CN" w:bidi="ar-SA"/>
        </w:rPr>
        <w:t>（二）建立推进机制。</w:t>
      </w:r>
      <w:r>
        <w:rPr>
          <w:rFonts w:hint="default" w:ascii="仿宋_GB2312" w:hAnsi="仿宋_GB2312" w:eastAsia="仿宋_GB2312" w:cs="仿宋_GB2312"/>
          <w:b w:val="0"/>
          <w:bCs w:val="0"/>
          <w:color w:val="000000"/>
          <w:kern w:val="0"/>
          <w:sz w:val="32"/>
          <w:szCs w:val="32"/>
          <w:lang w:val="en-US" w:eastAsia="zh-CN" w:bidi="ar-SA"/>
        </w:rPr>
        <w:t>建立跨部门联席会议制度，定期研究解决产业建设中的重大事项和突出问题，形成“市级统筹、部门协同、市县联动”的工作格局。建立产业重点项目全生命周期服务机制，从项目签约、落地建设到投产运营实行专人跟踪、全程服务，确保项目早开工、早投产、早达效。</w:t>
      </w:r>
      <w:bookmarkStart w:id="4" w:name="_Toc92635572"/>
      <w:bookmarkStart w:id="5" w:name="_Toc92635468"/>
    </w:p>
    <w:p w14:paraId="405E4339">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0"/>
          <w:sz w:val="32"/>
          <w:szCs w:val="32"/>
          <w:lang w:val="en-US" w:eastAsia="zh-CN" w:bidi="ar-SA"/>
        </w:rPr>
      </w:pPr>
      <w:r>
        <w:rPr>
          <w:rFonts w:hint="eastAsia" w:ascii="楷体_GB2312" w:hAnsi="楷体_GB2312" w:eastAsia="楷体_GB2312" w:cs="楷体_GB2312"/>
          <w:b/>
          <w:bCs/>
          <w:color w:val="000000"/>
          <w:sz w:val="32"/>
          <w:szCs w:val="32"/>
          <w:lang w:val="en-US" w:eastAsia="zh-CN"/>
        </w:rPr>
        <w:t xml:space="preserve">    （三）</w:t>
      </w:r>
      <w:bookmarkEnd w:id="4"/>
      <w:bookmarkEnd w:id="5"/>
      <w:r>
        <w:rPr>
          <w:rFonts w:hint="eastAsia" w:ascii="楷体_GB2312" w:hAnsi="楷体_GB2312" w:eastAsia="楷体_GB2312" w:cs="楷体_GB2312"/>
          <w:b/>
          <w:bCs/>
          <w:color w:val="000000"/>
          <w:sz w:val="32"/>
          <w:szCs w:val="32"/>
          <w:lang w:val="en-US" w:eastAsia="zh-CN"/>
        </w:rPr>
        <w:t>优化营商环境。</w:t>
      </w:r>
      <w:r>
        <w:rPr>
          <w:rFonts w:hint="eastAsia" w:ascii="仿宋_GB2312" w:hAnsi="仿宋_GB2312" w:eastAsia="仿宋_GB2312" w:cs="仿宋_GB2312"/>
          <w:b w:val="0"/>
          <w:bCs w:val="0"/>
          <w:color w:val="000000"/>
          <w:kern w:val="0"/>
          <w:sz w:val="32"/>
          <w:szCs w:val="32"/>
          <w:lang w:val="en-US" w:eastAsia="zh-CN" w:bidi="ar-SA"/>
        </w:rPr>
        <w:t>深化“一站集成”企业服务体系建设，迭代升级市县乡三级全覆盖的“舟到助企”服务平台，推动涉企诉求数据互联互通、业务办理高效协同。深入推进“助企服务专员”制度，选派干部驻企服务。强化对企服务意识，常态化开展“三服务”活动，切实帮助企业解决生产经营中的困难问题，营造亲商、安商、富商的良好发展氛围。</w:t>
      </w:r>
    </w:p>
    <w:p w14:paraId="2C6059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7E3D0B"/>
    <w:rsid w:val="7C7E3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Calibri" w:hAnsi="Calibri" w:eastAsia="宋体" w:cs="Times New Roman"/>
    </w:rPr>
  </w:style>
  <w:style w:type="paragraph" w:styleId="3">
    <w:name w:val="Subtitle"/>
    <w:basedOn w:val="1"/>
    <w:next w:val="1"/>
    <w:qFormat/>
    <w:uiPriority w:val="99"/>
    <w:pPr>
      <w:wordWrap w:val="0"/>
      <w:spacing w:after="60"/>
      <w:jc w:val="center"/>
    </w:pPr>
    <w:rPr>
      <w:rFonts w:ascii="Times New Roman" w:hAnsi="Times New Roman" w:eastAsia="仿宋_GB2312"/>
      <w:sz w:val="24"/>
    </w:rPr>
  </w:style>
  <w:style w:type="paragraph" w:styleId="6">
    <w:name w:val="Body Text Indent"/>
    <w:basedOn w:val="1"/>
    <w:next w:val="7"/>
    <w:qFormat/>
    <w:uiPriority w:val="0"/>
    <w:pPr>
      <w:spacing w:after="120"/>
      <w:ind w:left="420" w:leftChars="200"/>
    </w:pPr>
    <w:rPr>
      <w:rFonts w:ascii="Calibri" w:hAnsi="Calibri" w:eastAsia="宋体" w:cs="Times New Roman"/>
      <w:sz w:val="24"/>
    </w:rPr>
  </w:style>
  <w:style w:type="paragraph" w:styleId="7">
    <w:name w:val="Body Text First Indent 2"/>
    <w:basedOn w:val="6"/>
    <w:next w:val="1"/>
    <w:qFormat/>
    <w:uiPriority w:val="0"/>
    <w:pPr>
      <w:ind w:firstLine="420" w:firstLineChars="200"/>
    </w:pPr>
    <w:rPr>
      <w:rFonts w:ascii="Calibri" w:hAnsi="Calibri" w:eastAsia="宋体" w:cs="Times New Roman"/>
    </w:rPr>
  </w:style>
  <w:style w:type="paragraph" w:styleId="8">
    <w:name w:val="Normal (Web)"/>
    <w:basedOn w:val="1"/>
    <w:qFormat/>
    <w:uiPriority w:val="0"/>
    <w:rPr>
      <w:sz w:val="24"/>
    </w:rPr>
  </w:style>
  <w:style w:type="paragraph" w:customStyle="1" w:styleId="11">
    <w:name w:val="目录 71"/>
    <w:next w:val="1"/>
    <w:qFormat/>
    <w:uiPriority w:val="0"/>
    <w:pPr>
      <w:wordWrap w:val="0"/>
      <w:ind w:left="2550"/>
      <w:jc w:val="both"/>
    </w:pPr>
    <w:rPr>
      <w:rFonts w:ascii="宋体" w:hAnsi="宋体" w:eastAsia="Times New Roman"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2026-09-15T06:55:00Z</dcterms:created>
  <dc:creator>无她毁心</dc:creator>
  <cp:lastModifiedBy>无她毁心</cp:lastModifiedBy>
  <dcterms:modified xsi:type="dcterms:W3CDTF">2026-09-15T06:55:43Z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459E6D7184FF4991BE83AA2FD934E4E3_11</vt:lpwstr>
  </property>
  <property fmtid="{D5CDD505-2E9C-101B-9397-08002B2CF9AE}" pid="4" name="KSOTemplateDocerSaveRecord">
    <vt:lpwstr>eyJoZGlkIjoiYzAzYzg2ZjMxZmUxNmQxZjJjZTYzOThlZmRkOGUzYjciLCJ1c2VySWQiOiI1Njc2ODUwMDIifQ==</vt:lpwstr>
  </property>
</Properties>
</file>