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A99E2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CE39DE7">
      <w:pPr>
        <w:pStyle w:val="2"/>
        <w:spacing w:line="600" w:lineRule="exact"/>
        <w:rPr>
          <w:rFonts w:hint="eastAsia"/>
        </w:rPr>
      </w:pPr>
    </w:p>
    <w:p w14:paraId="628D477D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中国工程科技发展战略浙江研究院</w:t>
      </w:r>
    </w:p>
    <w:p w14:paraId="7BB18B6D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2027年战略咨询项目申报指南</w:t>
      </w:r>
    </w:p>
    <w:p w14:paraId="4698BC63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4B23A13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1.浙江省脑机接口技术发展战略研究</w:t>
      </w:r>
    </w:p>
    <w:p w14:paraId="1E4B30E3">
      <w:pPr>
        <w:spacing w:line="600" w:lineRule="exact"/>
        <w:ind w:firstLine="643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打造具有较强国际竞争力的脑机接口技术和产业创新高地为目标，聚焦医疗、消费、工业三大重点领域，围绕脑机接口基座技术、感知运动增强、重大脑疾病治疗、脑健康管理与干预等重点方向，在共建上海（长三角）国际科技创新中心的背景下，研判分析我省脑机接口领域的优势与短板、面临的挑战，提出我省推进脑机接口科技和产业创新的战略路径与对策。</w:t>
      </w:r>
    </w:p>
    <w:p w14:paraId="3AC8801F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2.浙江省“人工智能+”科学技术创新发展战略研究</w:t>
      </w:r>
    </w:p>
    <w:p w14:paraId="1578AE09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围绕人工智能、生命健康、新材料新能源三大科创高地建设，以打造“人工智能+”科学技术的算力底座、数据底座、模型底座为目标，聚焦科学智能、智能实验系统、AI驱动的科学发现与知识生成等前沿交叉重点领域，深入研判分析我省基础优势、核心短板及面临的挑战，对标长三角兄弟省市及国际领先地区的发展态势，明确我省在“AI+科学计算”“AI+生命健康”“AI+新材料”等交叉前沿领域的差异化定位与错位竞争策略，提出我省前瞻布局、系统推进“人工智能+”科学技术创新发展路径与关键对策建议。</w:t>
      </w:r>
    </w:p>
    <w:p w14:paraId="0B463E3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3.浙江省“人工智能+”文化创新发展战略研究</w:t>
      </w:r>
    </w:p>
    <w:p w14:paraId="158CEE72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打造具有全国影响力的AI+文化科技创新高地为目标，聚焦智能文艺创作、智能创新设计、智能文博影视、智能文旅服务等重点领域，围绕跨媒体文化数据理解与关联、文化领域大模型、知识增强与可信推理、智能内容生成与人机协同创作等前沿方向，研究人工智能赋能文化生产、传播、消费和服务的新技术、新模式与新场景。研判分析我省文化科技融合发展的基础优势、关键技术短板和产业发展瓶颈，提出我省推进文化科技深度融合、培育文化新质生产力和构建现代文化产业体系的战略路径与对策。</w:t>
      </w:r>
    </w:p>
    <w:p w14:paraId="1B009DD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4.浙江省人工智能赋能新材料技术发展战略研究</w:t>
      </w:r>
    </w:p>
    <w:p w14:paraId="188E6C95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打造具有较强国际竞争力的新材料技术和产业创新高地为目标，围绕AI驱动的新材料发现、精准化创制、高效化验证等领域，聚焦AI赋能的跨尺度计算、高通量筛选与数智设计、反应与合成路径优化、服役性能提升与预测、材料检测与原位表征等重点方向，结合国内外创新发展趋势，分析研判浙江的优势与短板，提出浙江人工智能赋能新材料技术创新发展的战略路径和对策建议。</w:t>
      </w:r>
    </w:p>
    <w:p w14:paraId="47B1E55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5.浙江省生物制造技术发展战略研究</w:t>
      </w:r>
    </w:p>
    <w:p w14:paraId="7F401AE9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具有国际影响力的合成生物产业创新发展高地为目标，聚焦医药、化工、材料、农业、食品、能源等领域，围绕合成生物学使能技术、底盘细胞设计与构建、生物反应与分离纯化工程、绿色生物工艺开发等重点方向，研判分析我省生物制造领域的优势与短板、面临的挑战，提出我省推进生物制造科技和产业创新的战略路径与对策。</w:t>
      </w:r>
    </w:p>
    <w:p w14:paraId="7147BFD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6.浙江省核药发展战略研究</w:t>
      </w:r>
    </w:p>
    <w:p w14:paraId="34A6E4CC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推动核药“未来医疗”产业高质量发展为目标，充分发挥浙江核电产业的先发优势，聚焦诊断类、治疗类和诊疗一体化类核药等细分领域，围绕核素自主稳定供应、AI辅助核药智能设计与构建体系、科研平台建设、临床转化与产业应用配套诊疗设备国产化、医用同位素标准体系研究等重点方向，结合国内外创新发展趋势，分析研判浙江的优势与短板，提出浙江核药技术创新发展的战略路径和对策建议。</w:t>
      </w:r>
    </w:p>
    <w:p w14:paraId="63DFE2D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7.浙江省氢能技术发展战略研究</w:t>
      </w:r>
    </w:p>
    <w:p w14:paraId="2461A524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服务国家“双碳”战略、抢占氢能技术制高点为目标，围绕绿氢制备及大规模氢储运等领域，聚焦先进可再生能源电解水制氢，大规模、长距离、低成本、高安全氢储运装备，临氢材料及氢气设备测试，大功率氢燃料电池等重点方向，结合国内外创新发展趋势，分析研判浙江的优势与短板，提出浙江氢能技术创新发展的战略路径和对策建议。</w:t>
      </w:r>
    </w:p>
    <w:p w14:paraId="7274AAC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8.浙江省双碳与环保相关技术发展战略研究</w:t>
      </w:r>
    </w:p>
    <w:p w14:paraId="4680AA01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服务国家“双碳”战略、抢占“双碳”技术制高点为目标，围绕新一代煤电、工业脱碳减污与资源循环等领域，聚焦煤电灵活调峰、智能运维、协同减污降碳、低能耗长周期稳定碳捕集、可再生基材料制备等重点方向，结合国内外创新发展趋势，分析研判浙江的优势与短板，提出浙江双碳与环保技术创新发展的战略路径和对策建议。</w:t>
      </w:r>
    </w:p>
    <w:p w14:paraId="5A898F3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9.浙江省时空智感融合创新发展战略研究</w:t>
      </w:r>
    </w:p>
    <w:p w14:paraId="32976DD9">
      <w:pPr>
        <w:spacing w:line="600" w:lineRule="exact"/>
        <w:ind w:firstLine="643" w:firstLineChars="200"/>
        <w:rPr>
          <w:rFonts w:hint="eastAsia" w:eastAsia="仿宋_GB2312" w:cs="Arial"/>
          <w:color w:val="000000"/>
          <w:kern w:val="0"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建成全国领先的长三角时空智感产业集群为目标，聚焦高精度时空基准与定位导航增强、时空智感关键芯片与传感器、卫星互联网与空天地一体化组网等技术主攻方向，系统梳理国内外时空智感科技和产业发展态势，研判浙江在技术创新、产业基础、应用场景、数据资源等方面的优势短板，提出浙江时空智感创新发展的战略路径和对策建议，为抢占时空信息产业技术制高点、培育人工智能新增长点提供决策支撑。</w:t>
      </w:r>
    </w:p>
    <w:p w14:paraId="3A1A771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10.浙江省电磁空间技术创新发展战略研究</w:t>
      </w:r>
    </w:p>
    <w:p w14:paraId="366E054E">
      <w:pPr>
        <w:spacing w:line="600" w:lineRule="exact"/>
        <w:ind w:firstLine="643" w:firstLineChars="200"/>
        <w:rPr>
          <w:rFonts w:hint="eastAsia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概述：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面向信息通信、导航定位、频谱管理和安全防护等领域，服务具身智能、先进通信、低空经济、智慧交通、工业互联网等经济社会发展场景，研判分析我省电磁空间技术创新的现实基础、优势短板、技术瓶颈与风险挑战，对标长三角兄弟省市及国际先进水平演进态势，明确我省特色定位与错位发展路径，提出推进电磁空间技术创新的前瞻布局、战略路径与关键对策建议。</w:t>
      </w:r>
    </w:p>
    <w:p w14:paraId="5DB7EAAD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11.浙江省加快国际科技组织集聚发展战略研究</w:t>
      </w:r>
    </w:p>
    <w:p w14:paraId="6E2DA161">
      <w:pPr>
        <w:spacing w:line="600" w:lineRule="exact"/>
        <w:ind w:firstLine="643" w:firstLineChars="200"/>
        <w:rPr>
          <w:rFonts w:hint="eastAsia" w:eastAsia="楷体_GB2312"/>
          <w:bCs/>
          <w:sz w:val="32"/>
          <w:szCs w:val="32"/>
        </w:rPr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以加快建设具有全球竞争力的科技创新开放环境，提升科技创新的全球影响力和引领力为目标，围绕集聚发展国际科技组织的优先领域、空间布局、梯度培育、人才队伍建设等重点问题，借鉴国内外先进经验模式，分析研判浙江的基础条件、优势短板和面临的竞争挑战，提出前瞻布局、系统推进国际科技组织集聚浙江的战略路径和对策建议。</w:t>
      </w:r>
    </w:p>
    <w:p w14:paraId="5990A282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12.深化长三角科技创新和产业创新跨区域协同战略研究</w:t>
      </w:r>
    </w:p>
    <w:p w14:paraId="757638FB">
      <w:pPr>
        <w:spacing w:line="600" w:lineRule="exact"/>
        <w:ind w:firstLine="643" w:firstLineChars="200"/>
      </w:pPr>
      <w:r>
        <w:rPr>
          <w:rFonts w:hint="eastAsia" w:eastAsia="仿宋_GB2312" w:cs="Arial"/>
          <w:b/>
          <w:bCs/>
          <w:color w:val="000000"/>
          <w:kern w:val="0"/>
          <w:sz w:val="32"/>
          <w:szCs w:val="32"/>
        </w:rPr>
        <w:t>概述：</w:t>
      </w:r>
      <w:r>
        <w:rPr>
          <w:rFonts w:hint="eastAsia" w:eastAsia="仿宋_GB2312" w:cs="Arial"/>
          <w:color w:val="000000"/>
          <w:kern w:val="0"/>
          <w:sz w:val="32"/>
          <w:szCs w:val="32"/>
        </w:rPr>
        <w:t>立足上海（长三角）国际科技创新中心建设，开展长三角科技创新和产业创新跨区域协同战略研究。分析长三角战略科技力量协同联动，科学数据共享服务，科学技术研究及成果转化全链条协作，人才、技术、资金等要素流动等方面的现状、存在问题，提出深化合作的路径模式和政策建议；同时，在整合长三角科技优势支撑传统产业焕新升级、新兴产业发展壮大、未来产业科学布局，助力构建浙江特色现代化产业体系方面，开展国内外相关经验及浙江长短板分析研究，并提出针对性实施路径和政策建议。</w:t>
      </w:r>
    </w:p>
    <w:p w14:paraId="7BC4784D">
      <w:pPr>
        <w:pStyle w:val="2"/>
        <w:ind w:firstLine="0"/>
        <w:rPr>
          <w:rFonts w:hint="eastAsia" w:eastAsia="仿宋_GB2312"/>
          <w:sz w:val="32"/>
          <w:szCs w:val="40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cols w:space="720" w:num="1"/>
          <w:docGrid w:type="lines" w:linePitch="312" w:charSpace="0"/>
        </w:sectPr>
      </w:pPr>
    </w:p>
    <w:p w14:paraId="7B7116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CF38B3A-65F2-42AF-BB92-B450E079B6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8E95E1C-5599-4EF7-8C96-EFC5A6F38B9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781E9A5-073B-4D88-BF69-BA5B0D5E109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5F4B516-A01F-4B36-8203-3E8CD8902C3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D3A7DC3-5001-4F0D-95FE-98D6B8B2C0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3D801">
    <w:pPr>
      <w:pStyle w:val="3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7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-</w:t>
    </w:r>
  </w:p>
  <w:p w14:paraId="4645D4CC">
    <w:pPr>
      <w:pStyle w:val="3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79D1B">
    <w:pPr>
      <w:pStyle w:val="3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-</w:t>
    </w:r>
  </w:p>
  <w:p w14:paraId="626131EA">
    <w:pPr>
      <w:pStyle w:val="3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71B9C"/>
    <w:rsid w:val="40B7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2026-10-28T01:58:00Z</dcterms:created>
  <dc:creator>rcs</dc:creator>
  <cp:lastModifiedBy>rcs</cp:lastModifiedBy>
  <dcterms:modified xsi:type="dcterms:W3CDTF">2026-10-28T02:05:38Z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D10F18B5CEBA4AB8B52E663ECE1EFE35_11</vt:lpwstr>
  </property>
  <property fmtid="{D5CDD505-2E9C-101B-9397-08002B2CF9AE}" pid="4" name="KSOTemplateDocerSaveRecord">
    <vt:lpwstr>eyJoZGlkIjoiYTAzMWYwODk5ZjZkNjRjMzliNTlmOTk3YzY0NmY0OWQiLCJ1c2VySWQiOiIyMzM2MTEzMDAifQ==</vt:lpwstr>
  </property>
</Properties>
</file>