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7F1AF">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7314F12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2026年度</w:t>
      </w:r>
      <w:r>
        <w:rPr>
          <w:rFonts w:hint="eastAsia" w:ascii="方正小标宋简体" w:hAnsi="方正小标宋简体" w:eastAsia="方正小标宋简体" w:cs="方正小标宋简体"/>
          <w:sz w:val="44"/>
          <w:szCs w:val="44"/>
        </w:rPr>
        <w:t>杭州市软科学研究项目</w:t>
      </w:r>
    </w:p>
    <w:p w14:paraId="0384124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sz w:val="44"/>
          <w:szCs w:val="44"/>
        </w:rPr>
      </w:pPr>
      <w:r>
        <w:rPr>
          <w:rFonts w:hint="eastAsia" w:ascii="方正小标宋简体" w:hAnsi="方正小标宋简体" w:eastAsia="方正小标宋简体" w:cs="方正小标宋简体"/>
          <w:sz w:val="44"/>
          <w:szCs w:val="44"/>
          <w:lang w:eastAsia="zh-CN"/>
        </w:rPr>
        <w:t>“榜单”</w:t>
      </w:r>
      <w:r>
        <w:rPr>
          <w:rFonts w:hint="eastAsia" w:ascii="方正小标宋简体" w:hAnsi="方正小标宋简体" w:eastAsia="方正小标宋简体" w:cs="方正小标宋简体"/>
          <w:sz w:val="44"/>
          <w:szCs w:val="44"/>
        </w:rPr>
        <w:t>指南</w:t>
      </w:r>
    </w:p>
    <w:p w14:paraId="1009061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一、重大项目</w:t>
      </w:r>
    </w:p>
    <w:p w14:paraId="5D74BCC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bidi="ar-SA"/>
        </w:rPr>
        <w:t>杭州打造一流科创企业孵化地的路径与对策研究</w:t>
      </w:r>
    </w:p>
    <w:p w14:paraId="43358F8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研究内容：</w:t>
      </w:r>
      <w:r>
        <w:rPr>
          <w:rFonts w:hint="eastAsia" w:ascii="仿宋_GB2312" w:hAnsi="仿宋_GB2312" w:eastAsia="仿宋_GB2312" w:cs="仿宋_GB2312"/>
          <w:sz w:val="32"/>
          <w:szCs w:val="32"/>
          <w:lang w:val="en-US" w:eastAsia="zh-CN" w:bidi="ar-SA"/>
        </w:rPr>
        <w:t>聚焦一流科创企业孵化体系的关键堵点，面向政府部门、孵化载体、在孵企业、高校院所及投融资机构等多元主体开展深度调研。在系统厘清发展现状与瓶颈问题的基础上，深入研究政策迭代更新的重要举措。借鉴国内外先进地区发展经验，提出杭州打造“一流科创企业孵化地”的可行路径与对策建议，为我市培育更多现象级新锐科技企业提供具有前瞻性与操作性的决策参考。</w:t>
      </w:r>
    </w:p>
    <w:p w14:paraId="26606695">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2.杭州市“AI+OPC”创新生态构建与实践发展研究</w:t>
      </w:r>
    </w:p>
    <w:p w14:paraId="5F1EF1F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研究内容：</w:t>
      </w:r>
      <w:r>
        <w:rPr>
          <w:rFonts w:hint="eastAsia" w:ascii="仿宋_GB2312" w:hAnsi="仿宋_GB2312" w:eastAsia="仿宋_GB2312" w:cs="仿宋_GB2312"/>
          <w:sz w:val="32"/>
          <w:szCs w:val="32"/>
          <w:lang w:val="en-US" w:eastAsia="zh-CN" w:bidi="ar-SA"/>
        </w:rPr>
        <w:t>立足杭州AI先发优势与OPC先行探索，构建适配的“AI+OPC”全链条创新生态体系，为打造全国人工智能创新发展第一城、培育创业新动能与新质生产力提供理论支撑与决策依据。梳理全球OPC演变路径、核心特征与发展模式，研究人工智能发展背景下，国内代表城市OPC扶持政策与建设情况，基于杭州各地OPC探索实践发现问题、分析问题并提出对策建议。</w:t>
      </w:r>
    </w:p>
    <w:p w14:paraId="5A18AB1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sz w:val="32"/>
          <w:szCs w:val="32"/>
          <w:lang w:val="en-US" w:eastAsia="zh-CN"/>
        </w:rPr>
        <w:t>提升杭州市基础研究能力对策研究</w:t>
      </w:r>
    </w:p>
    <w:p w14:paraId="16D3DCD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研究内容：</w:t>
      </w:r>
      <w:r>
        <w:rPr>
          <w:rFonts w:hint="eastAsia" w:ascii="仿宋_GB2312" w:hAnsi="仿宋_GB2312" w:eastAsia="仿宋_GB2312" w:cs="仿宋_GB2312"/>
          <w:sz w:val="32"/>
          <w:szCs w:val="32"/>
          <w:lang w:val="en-US" w:eastAsia="zh-CN"/>
        </w:rPr>
        <w:t>根据习近平总书记在加强基础研究座谈会上的重要讲话和省、市工作要求，厘清基础研究的概念内涵和统计口径，对标分析杭州市与国内基础研究标杆城市的基础研究经费投入和占比情况，系统总结杭州市基础研究现状和存在的问题。依托分析成果，针对性提出杭州市加强基础研究发展、统一规范基础研究统计管理的对策建议。</w:t>
      </w:r>
    </w:p>
    <w:p w14:paraId="1C23D03A">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4.面向教育科技人才一体发展的杭州高等教育提质扩面研究</w:t>
      </w:r>
    </w:p>
    <w:p w14:paraId="4176F1C5">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研究内容：剖析高等教育与教育科技人才一体发展的逻辑关系，对标杭州名校名院名所建设与科技创新发展需求，阐述当前高等教育面临的新形势、新任务。分析杭州高等教育在优质资源供给、学科专业结构优化、科技创新与人才培育支撑等方面的建设基础和存在问题，借鉴国内外先进地区和兄弟城市经验做法，研究提出面向教育科技人才一体化发展，推动杭州高等教育提质扩面的实施思路。</w:t>
      </w:r>
    </w:p>
    <w:p w14:paraId="3196930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w:t>
      </w:r>
      <w:r>
        <w:rPr>
          <w:rFonts w:hint="eastAsia" w:ascii="仿宋_GB2312" w:hAnsi="仿宋_GB2312" w:eastAsia="仿宋_GB2312" w:cs="仿宋_GB2312"/>
          <w:sz w:val="32"/>
          <w:szCs w:val="32"/>
          <w:lang w:val="en-US" w:eastAsia="zh-CN"/>
        </w:rPr>
        <w:t>具身智能技术前沿研判与杭州产业创新布局研究</w:t>
      </w:r>
    </w:p>
    <w:p w14:paraId="207AEF8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研究内容：</w:t>
      </w:r>
      <w:r>
        <w:rPr>
          <w:rFonts w:hint="eastAsia" w:ascii="仿宋_GB2312" w:hAnsi="仿宋_GB2312" w:eastAsia="仿宋_GB2312" w:cs="仿宋_GB2312"/>
          <w:sz w:val="32"/>
          <w:szCs w:val="32"/>
          <w:lang w:val="en-US" w:eastAsia="zh-CN"/>
        </w:rPr>
        <w:t>面向杭州市打造全球具身智能机器人创新与应用高地的战略需求，结合国际先发地区和国内先进地区的技术演进和产业化路径，研判技术发展趋势、关键瓶颈和产业化前景；结合杭州人工智能、机器人和智能制造基础，摸排现有企业、平台和产业配套能力，明确比较优势、短板及潜力赛道，提出差异化技术布局、协同攻关模式和针对性政策建议。</w:t>
      </w:r>
    </w:p>
    <w:p w14:paraId="274230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重点项目</w:t>
      </w:r>
    </w:p>
    <w:p w14:paraId="133ACF2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1.杭州建强上海（长三角）国际科技创新中心关键支点的对策研究</w:t>
      </w:r>
    </w:p>
    <w:p w14:paraId="4B8DBBA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立足建设上海（长三角）国际科技创新中心这一重大战略部署，系统比较上海（长三角）国际科技创新中心5个关键支点城市在创新布局、战略科技力量、关键前沿技术突破、现代产业体系构建、创新生态优化等方面的现实基础，研判杭州参与建设国际科技创新中心的比较优势与制约因素。谋划提出杭州加快建设上海（长三角）国际科技创新中心关键支点的协同创新机制、重点任务和差异化发展路径。</w:t>
      </w:r>
    </w:p>
    <w:p w14:paraId="69E6425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2.杭州科技创新20年发展沿革及实践经验研究</w:t>
      </w:r>
      <w:r>
        <w:rPr>
          <w:rFonts w:hint="eastAsia" w:ascii="仿宋_GB2312" w:hAnsi="仿宋_GB2312" w:eastAsia="仿宋_GB2312" w:cs="仿宋_GB2312"/>
          <w:sz w:val="32"/>
          <w:szCs w:val="32"/>
          <w:lang w:val="en-US" w:eastAsia="zh-CN"/>
        </w:rPr>
        <w:tab/>
      </w:r>
    </w:p>
    <w:p w14:paraId="3F35947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2006—2025年杭州科技发展全周期为研究对象，系统总结20年来杭州科技创新发展脉络，梳理科技政策、创新主体、平台载体、成果转化等核心维度的时序演变，深度剖析杭州科技发展进程中累积的结构性问题与阶段性短板，提炼杭州在数字经济引领创新、产学研协同攻关、成果转移转化等方面的独特经验以及治理启示。</w:t>
      </w:r>
    </w:p>
    <w:p w14:paraId="321E2F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3.深化杭州国家自主创新示范区改革创新发展研究</w:t>
      </w:r>
      <w:r>
        <w:rPr>
          <w:rFonts w:hint="eastAsia" w:ascii="仿宋_GB2312" w:hAnsi="仿宋_GB2312" w:eastAsia="仿宋_GB2312" w:cs="仿宋_GB2312"/>
          <w:sz w:val="32"/>
          <w:szCs w:val="32"/>
          <w:lang w:val="en-US" w:eastAsia="zh-CN"/>
        </w:rPr>
        <w:tab/>
      </w:r>
    </w:p>
    <w:p w14:paraId="14B34CD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研究杭州自创区改革成效和现存短板，借鉴中关村、张江等自创区先进经验，探讨人工智能、未来产业等赛道下自创区改革深化路径，提出优化科技成果转化、揭榜挂帅、跨区协同改革配套机制的举措建议，为制定杭州自创区改革创新落地实施方案提供理论依据与决策参考。</w:t>
      </w:r>
    </w:p>
    <w:p w14:paraId="156F8D7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4.以创新要素融合协同推动杭州建设一流创新生态的机制研究</w:t>
      </w:r>
    </w:p>
    <w:p w14:paraId="0840BE2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厘清创新要素融合协同与建设一流创新生态的内在逻辑，梳理杭州高校科研机构、企业与创新人才等多元主体的要素配置现状，总结培育一流创新生态的基础优势。聚焦科技成果转化通道、概念验证与中试验证平台支撑、企业创新主体地位等方面，深入剖析制约创新要素深度协同的制度性障碍。围绕打通“策源—转化—产业化”全链条，研究推动杭州科研机构、企业、人才等创新要素高效融合协同的实现机制，提出杭州加快建成一流创新生态的对策建议。</w:t>
      </w:r>
    </w:p>
    <w:p w14:paraId="2E02EED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5.健全科技创新投入机制的杭州路径研究</w:t>
      </w:r>
    </w:p>
    <w:p w14:paraId="00F5C13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分析我市科技创新投入结构，包括政府、企业、社会资本投入比例及投向领域等，总结优势基础，厘清问题短板；借鉴国内外先进城市科技创新投入经验做法，研究构建多元化投入机制，包括强化企业投入主体地位、优化政府投入结构、发挥高校科研机构科技创新投入重要载体作用、拓宽社会资本参与渠道等的思路举措。</w:t>
      </w:r>
    </w:p>
    <w:p w14:paraId="40FAA28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6.杭州促进科技服务业高质量发展的路径与对策研究</w:t>
      </w:r>
    </w:p>
    <w:p w14:paraId="543C8B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深入分析杭州科技服务业整体发展情况，重点剖析研究与试验服务、概念验证服务、中试服务、企业孵化等细分赛道的营收规模、主体培育、平台布局、服务效能等发展现状，研判当前科技服务业存在的短板弱项。借鉴国内重点城市及国际先进地区科技服务业发展模式、运营机制等方面先进经验，提出杭州促进科技服务业高质量发展的路径与对策建议。</w:t>
      </w:r>
    </w:p>
    <w:p w14:paraId="6021450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7.全球创新视域下杭州科技创新影响力提升路径研究</w:t>
      </w:r>
    </w:p>
    <w:p w14:paraId="18C3D76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基于《全球创新指数》《国家创新型城市创新能力评价报告》等国内外权威评价报告，系统梳理杭州在各项评价体系中的排名与变化趋势，并与国内外先进城市（科技集群）开展对标比较，分析杭州的优势指标和短板指标，找出杭州科技创新工作在全球创新格局中的位势、特色与差距，聚焦巩固提升现有优势、补齐补强短板，提出针对性对策建议，为杭州提升全球创新影响力提供决策参考。</w:t>
      </w:r>
    </w:p>
    <w:p w14:paraId="6FBC70D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8.“两新融合”背景下杭州人工智能产业培育战略研究</w:t>
      </w:r>
      <w:r>
        <w:rPr>
          <w:rFonts w:hint="eastAsia" w:ascii="仿宋_GB2312" w:hAnsi="仿宋_GB2312" w:eastAsia="仿宋_GB2312" w:cs="仿宋_GB2312"/>
          <w:sz w:val="32"/>
          <w:szCs w:val="32"/>
          <w:lang w:val="en-US" w:eastAsia="zh-CN"/>
        </w:rPr>
        <w:tab/>
      </w:r>
    </w:p>
    <w:p w14:paraId="65E64B2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在构建人工智能产业培育理论分析模型的基础上，对杭州人工智能产业的基础条件、政策效能及产业链完整性进行系统诊断，评估其在“两新融合”框架下的现实位势与关键短板；选取国内先行城市，围绕算力设施建设、数据要素流通、应用场景开放及创新联合体运作等核心维度进行制度比较与成效对照，提出可操作性的政策建议。</w:t>
      </w:r>
    </w:p>
    <w:p w14:paraId="53CA962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val="en-US" w:eastAsia="zh-CN" w:bidi="ar-SA"/>
        </w:rPr>
        <w:t>推进杭州新材料产业集群高质量发展的对策研究</w:t>
      </w:r>
    </w:p>
    <w:p w14:paraId="5221035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w:t>
      </w:r>
      <w:r>
        <w:rPr>
          <w:rFonts w:hint="eastAsia" w:ascii="仿宋_GB2312" w:hAnsi="仿宋_GB2312" w:eastAsia="仿宋_GB2312" w:cs="仿宋_GB2312"/>
          <w:sz w:val="32"/>
          <w:szCs w:val="32"/>
          <w:lang w:val="en-US" w:eastAsia="zh-CN" w:bidi="ar-SA"/>
        </w:rPr>
        <w:t>立足国省市对新材料产业的战略部署，深入分析我市新材料产业集群经济运行情况、集群发展现状优势和存在短板，借鉴重点城市的先进经验，提出推进杭州新材料产业集群高质量发展的针对性建议。</w:t>
      </w:r>
    </w:p>
    <w:p w14:paraId="43A5B48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10.新形势下杭州提升人才吸引力对策研究</w:t>
      </w:r>
    </w:p>
    <w:p w14:paraId="66BD25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立足人口负增长、AI重塑就业结构、城市人才竞争白热化等新形势，研究杭州人才总量、结构、流入流出等人才引育留用总体情况，分析杭州对青年人才、海外人才等各类人才的引育政策、实施成效与不足，学习借鉴国内外城市引才经验，提出适合杭州产业承载、青年友好、薪酬竞争力、创新创业生态、人才服务等方面的对策建议，为杭州提升人才吸引力、打造人才生态最优示范城市提供决策支撑。</w:t>
      </w:r>
    </w:p>
    <w:p w14:paraId="1DAC6CF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11.国有投资基金活力激发和产业带动能力提升对策研究</w:t>
      </w:r>
    </w:p>
    <w:p w14:paraId="3520BC2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立足杭州国有投资基金发展实际，系统梳理产业基金、科创基金、创新基金等功能定位、管理架构、激励机制，分析杭州国有投资基金的运行现状和制度障碍，借鉴国外及深圳、合肥等先进地区国有投资基金在分类管理、容亏免责、投早投小、耐心资本等方面的改革实践典型做法，有针对性地提出杭州完善国有投资基金制度设计、政策配套与实施路径的系统性对策，为激发国有资本活力、更好发挥产业带动能力提供决策参考。</w:t>
      </w:r>
    </w:p>
    <w:p w14:paraId="0960C88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12.杭州市企业研发费用补助政策效能评估与</w:t>
      </w:r>
      <w:r>
        <w:rPr>
          <w:rFonts w:hint="eastAsia" w:ascii="仿宋_GB2312" w:hAnsi="仿宋_GB2312" w:eastAsia="仿宋_GB2312" w:cs="仿宋_GB2312"/>
          <w:sz w:val="32"/>
          <w:szCs w:val="32"/>
          <w:lang w:val="en-US" w:eastAsia="zh-CN" w:bidi="ar-SA"/>
        </w:rPr>
        <w:t>优化路径研究</w:t>
      </w:r>
    </w:p>
    <w:p w14:paraId="7564189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w:t>
      </w:r>
      <w:r>
        <w:rPr>
          <w:rFonts w:hint="eastAsia" w:ascii="仿宋_GB2312" w:hAnsi="仿宋_GB2312" w:eastAsia="仿宋_GB2312" w:cs="仿宋_GB2312"/>
          <w:sz w:val="32"/>
          <w:szCs w:val="32"/>
          <w:lang w:val="en-US" w:eastAsia="zh-CN" w:bidi="ar-SA"/>
        </w:rPr>
        <w:t>系统厘清研发投入补贴政策实施以来运行现状与绩效，聚焦杭州市企业研发费用补贴政策效能递减的关键堵点，在充分调研大中小微等不同规模企业的基础上，分析政策工具、市场机制、金融支持等因素对企业研发决策的影响，借鉴先进地区经验，提出杭州市研发费用补贴分档分类精准施策的优化路径与对策建议。</w:t>
      </w:r>
    </w:p>
    <w:p w14:paraId="2D297E7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w:t>
      </w:r>
      <w:r>
        <w:rPr>
          <w:rFonts w:hint="eastAsia" w:ascii="黑体" w:hAnsi="黑体" w:eastAsia="黑体" w:cs="黑体"/>
          <w:sz w:val="32"/>
          <w:szCs w:val="32"/>
        </w:rPr>
        <w:t>一般项目</w:t>
      </w:r>
    </w:p>
    <w:p w14:paraId="6FBED6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1.杭州引育高水平学术期刊赋能高质量发展的路径研究</w:t>
      </w:r>
    </w:p>
    <w:p w14:paraId="0101E0E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立足杭州深度融入长三角国创中心建设的战略背景，梳理比较杭州与北京、上海等地在高水平期刊资源禀赋、政策举措等方面的差异，分析杭州引育高水平期刊在集聚高端智力资源、促进知识生产与转化、提升城市创新能级等方面的现实意义和战略价值，研究高水平学术期刊引育赋能杭州高质量发展的可行路径，为杭州补齐发展短板、加快建设更高水平创新活力之城提供精准的决策参考。</w:t>
      </w:r>
    </w:p>
    <w:p w14:paraId="0D3334A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2.杭州市科学技术进步条例修订立法研究</w:t>
      </w:r>
    </w:p>
    <w:p w14:paraId="4A96C93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研究内容：分析国家、省级科技进步立法相继修订的新形势，围绕杭州打造更高水平创新活力之城、推进教育科技人才一体改革发展的新要求，调研国内</w:t>
      </w:r>
      <w:bookmarkStart w:id="0" w:name="_GoBack"/>
      <w:bookmarkEnd w:id="0"/>
      <w:r>
        <w:rPr>
          <w:rFonts w:hint="eastAsia" w:ascii="仿宋_GB2312" w:hAnsi="仿宋_GB2312" w:eastAsia="仿宋_GB2312" w:cs="仿宋_GB2312"/>
          <w:sz w:val="32"/>
          <w:szCs w:val="32"/>
          <w:lang w:val="en-US" w:eastAsia="zh-CN"/>
        </w:rPr>
        <w:t>重点城市科学技术促进与创新立法现状和趋势，聚焦科技创新活动、主体、环境等重点领域，全面分析杭州科技创新的现实基础、短板堵点与制度需求，提出杭州市科学技术进步条例修订的路径，形成具体立法修法建议。</w:t>
      </w:r>
    </w:p>
    <w:p w14:paraId="1BFF1FA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3.高校高价值专利转化效能提升路径研究</w:t>
      </w:r>
    </w:p>
    <w:p w14:paraId="4FEE44C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立足杭州打造“全国科技成果转移转化首选地”战略定位，研究在杭高校高价值专利的科技成果转化现状和专利管理模式，分析在杭高校高价值专利“实验室到产业化”的关键堵点，借鉴国内外高校专利转化的先进经验，提出在赋权改革、技术转移机构、专利池运营、作价入股等方面的对策建议，为在杭高校提升科技成果转化效能、赋能全市科技创新提供决策参考。</w:t>
      </w:r>
    </w:p>
    <w:p w14:paraId="3A2D31E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4.全球前沿科技领域重大战略跟踪研究</w:t>
      </w:r>
    </w:p>
    <w:p w14:paraId="64B82B2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构建追踪主要发达国家科技领域重大战略路径的动态监测机制，围绕科学、技术、人才、资本、政策等多维度分析各国在前沿领域的重大科技战略部署，研判各国前沿战略在技术攻关组织、政策协同保障、创新生态构建、全球资源整合等方面的特征和趋势，结合杭州实际提出杭州前沿科技发展战略路径与建议。</w:t>
      </w:r>
    </w:p>
    <w:p w14:paraId="3EF3C4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5.提升杭州高能级科创平台质效的路径研究</w:t>
      </w:r>
    </w:p>
    <w:p w14:paraId="0B55FAB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梳理杭州高能级科创平台建设现状，分析高能级科创平台在创新支撑、产学研合作、成果转化等方面的基础和不足，借鉴国外及国内先行城市经验，围绕深化“高校+平台+企业+产业链”结对合作、健全绩效评价体系、深化科研院所改革等方面给出提升高能级科创平台质效、更好支撑新质生产力发展的举措建议。</w:t>
      </w:r>
    </w:p>
    <w:p w14:paraId="71F67FB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6.杭州市人工智能领域保密安全治理路径研究</w:t>
      </w:r>
      <w:r>
        <w:rPr>
          <w:rFonts w:hint="eastAsia" w:ascii="仿宋_GB2312" w:hAnsi="仿宋_GB2312" w:eastAsia="仿宋_GB2312" w:cs="仿宋_GB2312"/>
          <w:sz w:val="32"/>
          <w:szCs w:val="32"/>
          <w:lang w:val="en-US" w:eastAsia="zh-CN"/>
        </w:rPr>
        <w:tab/>
      </w:r>
    </w:p>
    <w:p w14:paraId="0DC24D5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立足杭州人工智能产业发展优势与保密安全现实需求，围绕大模型研发、算力基础设施、数据安全治理、具身智能应用等重点领域开展调研，梳理企业合规诉求与现有监管体系短板，明确人工智能场景保密监管边界，构建适配产业创新的数据要素保密管控机制，提出安全管控与产业发展协同推进、兼具合规性与可操作性的保密治理对策。</w:t>
      </w:r>
    </w:p>
    <w:p w14:paraId="0954D28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7.面向“人工智能+”的杭州场景应用创新机制研究</w:t>
      </w:r>
      <w:r>
        <w:rPr>
          <w:rFonts w:hint="eastAsia" w:ascii="仿宋_GB2312" w:hAnsi="仿宋_GB2312" w:eastAsia="仿宋_GB2312" w:cs="仿宋_GB2312"/>
          <w:sz w:val="32"/>
          <w:szCs w:val="32"/>
          <w:lang w:val="en-US" w:eastAsia="zh-CN"/>
        </w:rPr>
        <w:tab/>
      </w:r>
    </w:p>
    <w:p w14:paraId="707CFA0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研究杭州人工智能场景开放的政策供给、实施路径、关键领域、合作案例等现状，分析杭州人工智能场景在应用场景牵引、开放供给、政府场景开放机制等方面的问题，借鉴国内外城市场景开放的经验做法，提出杭州优化人工智能场景应用创新机制，形成场景牵引技术、技术赋能产业、产业反哺生态的良性循环。</w:t>
      </w:r>
    </w:p>
    <w:p w14:paraId="5481AA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val="en-US" w:eastAsia="zh-CN" w:bidi="ar-SA"/>
        </w:rPr>
        <w:t>杭州市合成生物前沿技术和产业布局研究</w:t>
      </w:r>
      <w:r>
        <w:rPr>
          <w:rFonts w:hint="eastAsia" w:ascii="仿宋_GB2312" w:hAnsi="仿宋_GB2312" w:eastAsia="仿宋_GB2312" w:cs="仿宋_GB2312"/>
          <w:sz w:val="32"/>
          <w:szCs w:val="32"/>
          <w:lang w:val="en-US" w:eastAsia="zh-CN"/>
        </w:rPr>
        <w:tab/>
      </w:r>
    </w:p>
    <w:p w14:paraId="2FE93D2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w:t>
      </w:r>
      <w:r>
        <w:rPr>
          <w:rFonts w:hint="eastAsia" w:ascii="仿宋_GB2312" w:hAnsi="仿宋_GB2312" w:eastAsia="仿宋_GB2312" w:cs="仿宋_GB2312"/>
          <w:sz w:val="32"/>
          <w:szCs w:val="32"/>
          <w:lang w:val="en-US" w:eastAsia="zh-CN" w:bidi="ar-SA"/>
        </w:rPr>
        <w:t>系统梳理杭州目前合成生物产业的高校学科资源、科研平台和科技型企业的前沿技术研发情况，对标国内外合成生物产业先发地区的创新融合模式、产业发展机制与政策体系，分析我市合成生物产业发展的优势与短板，提出适合杭州合成生物产业错位发展，布局产业新赛道的对策建议。</w:t>
      </w:r>
    </w:p>
    <w:p w14:paraId="4314A9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9.杭州市航空航天前沿技术和产业布局研究</w:t>
      </w:r>
      <w:r>
        <w:rPr>
          <w:rFonts w:hint="eastAsia" w:ascii="仿宋_GB2312" w:hAnsi="仿宋_GB2312" w:eastAsia="仿宋_GB2312" w:cs="仿宋_GB2312"/>
          <w:sz w:val="32"/>
          <w:szCs w:val="32"/>
          <w:lang w:val="en-US" w:eastAsia="zh-CN"/>
        </w:rPr>
        <w:tab/>
      </w:r>
    </w:p>
    <w:p w14:paraId="7A175E4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梳理杭州目前航空航天产业的高校学科资源、科研平台和科技型企业的前沿技术研发情况，构建杭州航空航天的技术路线图和产业图谱，借鉴国内外先进城市航空航天产业发展经验，为杭州高质量发展航空航天产业，布局产业新赛道提供决策参考和对策建议。</w:t>
      </w:r>
    </w:p>
    <w:p w14:paraId="0A28F59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zh-CN" w:bidi="ar-SA"/>
        </w:rPr>
        <w:t>杭州打造类脑智能产业高地的对策研究</w:t>
      </w:r>
      <w:r>
        <w:rPr>
          <w:rFonts w:hint="eastAsia" w:ascii="仿宋_GB2312" w:hAnsi="仿宋_GB2312" w:eastAsia="仿宋_GB2312" w:cs="仿宋_GB2312"/>
          <w:sz w:val="32"/>
          <w:szCs w:val="32"/>
          <w:lang w:val="en-US" w:eastAsia="zh-CN"/>
        </w:rPr>
        <w:tab/>
      </w:r>
    </w:p>
    <w:p w14:paraId="4D9ADE6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立足全球前沿科技竞争背景和国家、省、市类脑智能产业发展目标，梳理杭州在科研平台、龙头企业、数字经济底座等方面类脑智能产业发展基础，分析我市产业发展核心优势和面临挑战。借鉴国内外先进城市经验，结合长三角产业分工格局，从顶层设计、技术攻关、企业培育、要素保障、风险治理等维度谋划杭州类脑智能产业中长期培育思路与分阶段实施举措。</w:t>
      </w:r>
    </w:p>
    <w:p w14:paraId="7EADC10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四、指导性项目</w:t>
      </w:r>
    </w:p>
    <w:p w14:paraId="20E7C3A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ascii="仿宋_GB2312" w:hAnsi="仿宋_GB2312" w:eastAsia="仿宋_GB2312" w:cs="仿宋_GB2312"/>
          <w:sz w:val="32"/>
          <w:szCs w:val="32"/>
          <w:lang w:val="en-US" w:eastAsia="zh-CN"/>
        </w:rPr>
        <w:t>指导性项目在以下领域中自由选题申报，但不得与重大、重</w:t>
      </w:r>
      <w:r>
        <w:rPr>
          <w:rFonts w:hint="eastAsia" w:ascii="仿宋_GB2312" w:hAnsi="仿宋_GB2312" w:eastAsia="仿宋_GB2312" w:cs="仿宋_GB2312"/>
          <w:sz w:val="32"/>
          <w:szCs w:val="32"/>
          <w:lang w:val="en-US" w:eastAsia="zh-CN"/>
        </w:rPr>
        <w:t>点</w:t>
      </w:r>
      <w:r>
        <w:rPr>
          <w:rFonts w:ascii="仿宋_GB2312" w:hAnsi="仿宋_GB2312" w:eastAsia="仿宋_GB2312" w:cs="仿宋_GB2312"/>
          <w:sz w:val="32"/>
          <w:szCs w:val="32"/>
          <w:lang w:val="en-US" w:eastAsia="zh-CN"/>
        </w:rPr>
        <w:t>、一般项目选题重复：围绕市委市政府科技创新重大决策部署，面向我市科技创新发展中人工智能创新发展第一城建设，打造“296X”先进制造业集群，教育科技人才一体化改革发展，科技创新与产业创新深度融合，提升企业科技创新能力，科技创新政策评估，创新文化建设，提升农业领域科技创新和产业创新能力，科技赋能生态环境保护与治理，标准创新引领产业发展，科技赋能社会安全治理，科技伦理治理，科技安全风险监测和应对，科技支撑共同富裕，统筹推进“文化+科技”深度融合，其他领域与科技创新体制机制改革、政策制度调整、组织管理优化、资源要素流通、治理体系提升等相关的选题。</w:t>
      </w:r>
    </w:p>
    <w:sectPr>
      <w:footerReference r:id="rId5" w:type="default"/>
      <w:pgSz w:w="11906" w:h="16838"/>
      <w:pgMar w:top="1701" w:right="1587" w:bottom="1701"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Sans">
    <w:altName w:val="Noto Naskh Arabic"/>
    <w:panose1 w:val="020B0602030504020204"/>
    <w:charset w:val="00"/>
    <w:family w:val="auto"/>
    <w:pitch w:val="default"/>
    <w:sig w:usb0="00000000" w:usb1="00000000" w:usb2="00000000" w:usb3="00000000" w:csb0="20000001" w:csb1="00000000"/>
  </w:font>
  <w:font w:name="Noto Naskh Arabic">
    <w:panose1 w:val="020B0502040504020204"/>
    <w:charset w:val="00"/>
    <w:family w:val="auto"/>
    <w:pitch w:val="default"/>
    <w:sig w:usb0="80002003" w:usb1="80002000" w:usb2="00000008" w:usb3="00000000" w:csb0="00000041" w:csb1="0008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思源宋体">
    <w:panose1 w:val="02020400000000000000"/>
    <w:charset w:val="86"/>
    <w:family w:val="auto"/>
    <w:pitch w:val="default"/>
    <w:sig w:usb0="30000083" w:usb1="2BDF3C10" w:usb2="00000016" w:usb3="00000000" w:csb0="602E0107" w:csb1="00000000"/>
  </w:font>
  <w:font w:name="楷体_GB2312">
    <w:panose1 w:val="02010609030101010101"/>
    <w:charset w:val="86"/>
    <w:family w:val="auto"/>
    <w:pitch w:val="default"/>
    <w:sig w:usb0="00000001" w:usb1="080E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C079A">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26F61D">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4226F61D">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254000"/>
              <wp:effectExtent l="0" t="0" r="0" b="0"/>
              <wp:wrapNone/>
              <wp:docPr id="5" name="文本框 5"/>
              <wp:cNvGraphicFramePr/>
              <a:graphic xmlns:a="http://schemas.openxmlformats.org/drawingml/2006/main">
                <a:graphicData uri="http://schemas.microsoft.com/office/word/2010/wordprocessingShape">
                  <wps:wsp>
                    <wps:cNvSpPr/>
                    <wps:spPr>
                      <a:xfrm>
                        <a:off x="0" y="0"/>
                        <a:ext cx="76200" cy="254000"/>
                      </a:xfrm>
                      <a:prstGeom prst="rect">
                        <a:avLst/>
                      </a:prstGeom>
                      <a:noFill/>
                      <a:ln w="6350" cap="flat" cmpd="sng">
                        <a:noFill/>
                        <a:prstDash val="solid"/>
                        <a:round/>
                      </a:ln>
                    </wps:spPr>
                    <wps:txbx>
                      <w:txbxContent>
                        <w:p w14:paraId="7D7CE34C">
                          <w:pPr>
                            <w:pStyle w:val="7"/>
                          </w:pP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20pt;width:6pt;mso-position-horizontal:center;mso-position-horizontal-relative:margin;mso-wrap-style:none;z-index:251659264;mso-width-relative:page;mso-height-relative:page;" filled="f" stroked="f" coordsize="21600,21600" o:gfxdata="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I2eJ71QAAAAMBAAAPAAAAAAAAAAEAIAAAACIAAABkcnMvZG93bnJl&#10;di54bWxQSwECFAAUAAAACACHTuJAqgPXqwACAADzAwAADgAAAAAAAAABACAAAAAkAQAAZHJzL2Uy&#10;b0RvYy54bWxQSwUGAAAAAAYABgBZAQAAlgUAAAAA&#10;">
              <v:fill on="f" focussize="0,0"/>
              <v:stroke on="f" weight="0.5pt" joinstyle="round"/>
              <v:imagedata o:title=""/>
              <o:lock v:ext="edit" aspectratio="f"/>
              <v:textbox inset="0mm,0mm,0mm,0mm" style="mso-fit-shape-to-text:t;">
                <w:txbxContent>
                  <w:p w14:paraId="7D7CE34C">
                    <w:pPr>
                      <w:pStyle w:val="7"/>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4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docVars>
    <w:docVar w:name="commondata" w:val="eyJoZGlkIjoiZjk0MGFlZjA0MmMzOTIxZGI5ZDhlOGJkYTExZWFiY2EifQ=="/>
    <w:docVar w:name="KSO_WPS_MARK_KEY" w:val="3a6b0eba-e713-4e14-848c-1d499fe1176b"/>
  </w:docVars>
  <w:rsids>
    <w:rsidRoot w:val="00000000"/>
    <w:rsid w:val="29BDA9BF"/>
    <w:rsid w:val="4EED2B96"/>
    <w:rsid w:val="5CBD8952"/>
    <w:rsid w:val="7BEA23D0"/>
    <w:rsid w:val="7E9E575D"/>
    <w:rsid w:val="859F989A"/>
    <w:rsid w:val="AD3B6AFB"/>
    <w:rsid w:val="AEFED68D"/>
    <w:rsid w:val="F4EBC458"/>
    <w:rsid w:val="FC761AAC"/>
    <w:rsid w:val="FFFF6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center"/>
    </w:pPr>
    <w:rPr>
      <w:rFonts w:ascii="仿宋" w:hAnsi="仿宋" w:eastAsia="仿宋" w:cs="仿宋"/>
      <w:kern w:val="2"/>
      <w:sz w:val="28"/>
      <w:szCs w:val="28"/>
      <w:lang w:val="en-US" w:eastAsia="zh-CN" w:bidi="ar-SA"/>
    </w:rPr>
  </w:style>
  <w:style w:type="paragraph" w:styleId="2">
    <w:name w:val="heading 1"/>
    <w:basedOn w:val="1"/>
    <w:next w:val="1"/>
    <w:link w:val="17"/>
    <w:qFormat/>
    <w:uiPriority w:val="0"/>
    <w:pPr>
      <w:spacing w:beforeAutospacing="1" w:afterAutospacing="1"/>
      <w:jc w:val="left"/>
      <w:outlineLvl w:val="0"/>
    </w:pPr>
    <w:rPr>
      <w:rFonts w:ascii="宋体" w:hAnsi="宋体" w:eastAsia="宋体" w:cs="Times New Roman"/>
      <w:b/>
      <w:bCs/>
      <w:kern w:val="44"/>
      <w:sz w:val="48"/>
      <w:szCs w:val="48"/>
    </w:rPr>
  </w:style>
  <w:style w:type="paragraph" w:styleId="3">
    <w:name w:val="heading 2"/>
    <w:basedOn w:val="1"/>
    <w:next w:val="1"/>
    <w:link w:val="18"/>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9"/>
    <w:qFormat/>
    <w:uiPriority w:val="0"/>
    <w:pPr>
      <w:keepNext/>
      <w:keepLines/>
      <w:spacing w:before="260" w:after="260" w:line="415" w:lineRule="auto"/>
      <w:outlineLvl w:val="2"/>
    </w:pPr>
    <w:rPr>
      <w:b/>
      <w:bCs/>
      <w:sz w:val="32"/>
      <w:szCs w:val="32"/>
    </w:rPr>
  </w:style>
  <w:style w:type="character" w:default="1" w:styleId="11">
    <w:name w:val="Default Paragraph Font"/>
    <w:qFormat/>
    <w:uiPriority w:val="0"/>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1"/>
    <w:pPr>
      <w:widowControl w:val="0"/>
      <w:spacing w:line="560" w:lineRule="exact"/>
      <w:ind w:left="214" w:firstLine="200" w:firstLineChars="200"/>
      <w:jc w:val="both"/>
    </w:pPr>
    <w:rPr>
      <w:rFonts w:ascii="Times New Roman" w:hAnsi="Times New Roman" w:eastAsia="仿宋" w:cs="Times New Roman"/>
      <w:kern w:val="2"/>
      <w:sz w:val="32"/>
      <w:szCs w:val="32"/>
      <w:lang w:val="en-US" w:eastAsia="zh-CN" w:bidi="ar-SA"/>
    </w:rPr>
  </w:style>
  <w:style w:type="paragraph" w:styleId="6">
    <w:name w:val="Body Text First Indent"/>
    <w:basedOn w:val="5"/>
    <w:next w:val="1"/>
    <w:qFormat/>
    <w:uiPriority w:val="99"/>
    <w:pPr>
      <w:widowControl w:val="0"/>
      <w:spacing w:line="560" w:lineRule="exact"/>
      <w:ind w:left="214" w:firstLine="420" w:firstLineChars="100"/>
      <w:jc w:val="both"/>
    </w:pPr>
    <w:rPr>
      <w:rFonts w:ascii="Times New Roman" w:hAnsi="Times New Roman" w:eastAsia="仿宋" w:cs="Times New Roman"/>
      <w:kern w:val="2"/>
      <w:sz w:val="32"/>
      <w:szCs w:val="32"/>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page number"/>
    <w:basedOn w:val="14"/>
    <w:qFormat/>
    <w:uiPriority w:val="0"/>
  </w:style>
  <w:style w:type="character" w:customStyle="1" w:styleId="14">
    <w:name w:val="默认段落字体1"/>
    <w:qFormat/>
    <w:uiPriority w:val="0"/>
  </w:style>
  <w:style w:type="character" w:styleId="15">
    <w:name w:val="Emphasis"/>
    <w:basedOn w:val="11"/>
    <w:qFormat/>
    <w:uiPriority w:val="0"/>
    <w:rPr>
      <w:i/>
    </w:rPr>
  </w:style>
  <w:style w:type="character" w:styleId="16">
    <w:name w:val="Hyperlink"/>
    <w:basedOn w:val="11"/>
    <w:qFormat/>
    <w:uiPriority w:val="0"/>
    <w:rPr>
      <w:color w:val="0000FF"/>
      <w:u w:val="single"/>
    </w:rPr>
  </w:style>
  <w:style w:type="character" w:customStyle="1" w:styleId="17">
    <w:name w:val="heading 1 Char"/>
    <w:basedOn w:val="11"/>
    <w:link w:val="2"/>
    <w:qFormat/>
    <w:uiPriority w:val="0"/>
    <w:rPr>
      <w:rFonts w:ascii="宋体" w:hAnsi="宋体" w:eastAsia="宋体" w:cs="Times New Roman"/>
      <w:b/>
      <w:bCs/>
      <w:kern w:val="44"/>
      <w:sz w:val="48"/>
      <w:szCs w:val="48"/>
      <w:lang w:val="en-US" w:eastAsia="zh-CN" w:bidi="ar-SA"/>
    </w:rPr>
  </w:style>
  <w:style w:type="character" w:customStyle="1" w:styleId="18">
    <w:name w:val="heading 2 Char"/>
    <w:basedOn w:val="11"/>
    <w:link w:val="3"/>
    <w:qFormat/>
    <w:uiPriority w:val="0"/>
    <w:rPr>
      <w:rFonts w:ascii="Times New Roman" w:hAnsi="仿宋" w:eastAsia="黑体" w:cs="仿宋"/>
      <w:b/>
      <w:bCs/>
      <w:kern w:val="2"/>
      <w:sz w:val="32"/>
      <w:szCs w:val="32"/>
      <w:lang w:val="en-US" w:eastAsia="zh-CN" w:bidi="ar-SA"/>
    </w:rPr>
  </w:style>
  <w:style w:type="character" w:customStyle="1" w:styleId="19">
    <w:name w:val="heading 3 Char"/>
    <w:basedOn w:val="11"/>
    <w:link w:val="4"/>
    <w:qFormat/>
    <w:uiPriority w:val="0"/>
    <w:rPr>
      <w:rFonts w:ascii="仿宋" w:hAnsi="仿宋" w:eastAsia="仿宋" w:cs="仿宋"/>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66FC76-FEF4-43A0-AFE8-239ECDD7C99E}">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10</Pages>
  <Words>0</Words>
  <Characters>5076</Characters>
  <Lines>0</Lines>
  <Paragraphs>96</Paragraphs>
  <TotalTime>30</TotalTime>
  <ScaleCrop>false</ScaleCrop>
  <LinksUpToDate>false</LinksUpToDate>
  <CharactersWithSpaces>6769</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2023-10-16T01:30:00Z</dcterms:created>
  <dc:creator>apple</dc:creator>
  <cp:lastModifiedBy>菲你不柯</cp:lastModifiedBy>
  <dcterms:modified xsi:type="dcterms:W3CDTF">2026-09-30T10:10:08Z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346E7194FDCE48508D201EF61CA4DCFD</vt:lpwstr>
  </property>
</Properties>
</file>