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D61DF">
      <w:pPr>
        <w:spacing w:line="700" w:lineRule="exact"/>
        <w:jc w:val="left"/>
        <w:outlineLvl w:val="0"/>
        <w:rPr>
          <w:rFonts w:eastAsia="黑体"/>
          <w:sz w:val="32"/>
          <w:szCs w:val="32"/>
        </w:rPr>
      </w:pPr>
      <w:r>
        <w:rPr>
          <w:rFonts w:eastAsia="黑体"/>
          <w:sz w:val="32"/>
          <w:szCs w:val="32"/>
        </w:rPr>
        <w:t>附件</w:t>
      </w:r>
    </w:p>
    <w:p w14:paraId="18975371">
      <w:pPr>
        <w:pStyle w:val="2"/>
        <w:ind w:firstLine="210"/>
      </w:pPr>
    </w:p>
    <w:p w14:paraId="41B76BCA">
      <w:pPr>
        <w:spacing w:line="700" w:lineRule="exact"/>
        <w:jc w:val="center"/>
        <w:outlineLvl w:val="0"/>
        <w:rPr>
          <w:rFonts w:eastAsia="方正小标宋简体"/>
          <w:sz w:val="44"/>
          <w:szCs w:val="44"/>
        </w:rPr>
      </w:pPr>
      <w:r>
        <w:rPr>
          <w:rFonts w:eastAsia="方正小标宋简体"/>
          <w:sz w:val="44"/>
          <w:szCs w:val="44"/>
        </w:rPr>
        <w:t>关于优化省实验室、省技术创新中心运行管理工作机制的实施方案</w:t>
      </w:r>
    </w:p>
    <w:p w14:paraId="77BCEE6A">
      <w:pPr>
        <w:spacing w:line="600" w:lineRule="exact"/>
        <w:jc w:val="center"/>
        <w:outlineLvl w:val="0"/>
        <w:rPr>
          <w:rFonts w:eastAsia="楷体_GB2312"/>
          <w:sz w:val="32"/>
          <w:szCs w:val="32"/>
        </w:rPr>
      </w:pPr>
      <w:r>
        <w:rPr>
          <w:rFonts w:eastAsia="楷体_GB2312"/>
          <w:sz w:val="32"/>
          <w:szCs w:val="32"/>
        </w:rPr>
        <w:t>（征求意见稿）</w:t>
      </w:r>
    </w:p>
    <w:p w14:paraId="688B2E19">
      <w:pPr>
        <w:spacing w:line="600" w:lineRule="exact"/>
        <w:ind w:firstLine="640" w:firstLineChars="200"/>
        <w:rPr>
          <w:rFonts w:eastAsia="方正仿宋_GB2312"/>
          <w:sz w:val="32"/>
          <w:szCs w:val="32"/>
        </w:rPr>
      </w:pPr>
    </w:p>
    <w:p w14:paraId="0A029C65">
      <w:pPr>
        <w:spacing w:line="600" w:lineRule="exact"/>
        <w:ind w:firstLine="640" w:firstLineChars="200"/>
        <w:rPr>
          <w:rFonts w:eastAsia="仿宋_GB2312"/>
          <w:sz w:val="32"/>
          <w:szCs w:val="32"/>
        </w:rPr>
      </w:pPr>
      <w:r>
        <w:rPr>
          <w:rFonts w:eastAsia="仿宋_GB2312"/>
          <w:sz w:val="32"/>
          <w:szCs w:val="32"/>
        </w:rPr>
        <w:t>为规范和促进省实验室、省技术创新中心（以下简称“科创平台”）运行期建设和管理，推进教育科技人才一体改革发展、科技创新与产业创新深度融合，引导科创平台持续产出重大标志性成果、强化产业赋能实效，结合科创平台建设实际，制定本实施方案。本方案适用于建设期满评估合格、转入运行期的省实验室和省技术创新中心。</w:t>
      </w:r>
    </w:p>
    <w:p w14:paraId="73A60F92">
      <w:pPr>
        <w:spacing w:line="600" w:lineRule="exact"/>
        <w:ind w:firstLine="640" w:firstLineChars="200"/>
        <w:outlineLvl w:val="0"/>
        <w:rPr>
          <w:rFonts w:eastAsia="黑体"/>
          <w:sz w:val="32"/>
          <w:szCs w:val="32"/>
        </w:rPr>
      </w:pPr>
      <w:r>
        <w:rPr>
          <w:rFonts w:eastAsia="黑体"/>
          <w:sz w:val="32"/>
          <w:szCs w:val="32"/>
        </w:rPr>
        <w:t>一、总体要求</w:t>
      </w:r>
    </w:p>
    <w:p w14:paraId="3162D723">
      <w:pPr>
        <w:spacing w:line="600" w:lineRule="exact"/>
        <w:ind w:firstLine="640" w:firstLineChars="200"/>
        <w:rPr>
          <w:rFonts w:eastAsia="仿宋_GB2312"/>
          <w:sz w:val="32"/>
          <w:szCs w:val="32"/>
        </w:rPr>
      </w:pPr>
      <w:r>
        <w:rPr>
          <w:rFonts w:eastAsia="仿宋_GB2312"/>
          <w:sz w:val="32"/>
          <w:szCs w:val="32"/>
        </w:rPr>
        <w:t>坚持以国家战略和我省经济社会发展需要为牵引，立足省实验室、省技术创新中心功能定位，推动科创平台由建设期转入运行期，重点实现“三个转变”：评价导向由重建设条件、重资源投入向重使命履行、重成果产出和产业贡献转变；人才建设由引进集聚为主向引育并重、建强稳定核心队伍转变；财政支持由建设期年度一次性建设经费为主向运行期稳定支持与实绩奖补相结合转变。优化人才使用、科研组织、成果转化、考核评价和资源配置等机制，引导科创平台聚焦主攻方向、提升核心能力，持续产出重大标志性成果，强化产业创新支撑，更好地服务国家战略和我省高质量发展。</w:t>
      </w:r>
    </w:p>
    <w:p w14:paraId="68804354">
      <w:pPr>
        <w:spacing w:line="600" w:lineRule="exact"/>
        <w:ind w:firstLine="640"/>
        <w:rPr>
          <w:rFonts w:eastAsia="仿宋_GB2312"/>
          <w:sz w:val="32"/>
        </w:rPr>
      </w:pPr>
      <w:r>
        <w:rPr>
          <w:rFonts w:hint="eastAsia" w:ascii="楷体_GB2312" w:hAnsi="楷体_GB2312" w:eastAsia="楷体_GB2312" w:cs="楷体_GB2312"/>
          <w:sz w:val="32"/>
          <w:szCs w:val="32"/>
        </w:rPr>
        <w:t>（一）坚持总量稳定，保持支持力度。</w:t>
      </w:r>
      <w:r>
        <w:rPr>
          <w:rFonts w:eastAsia="仿宋_GB2312"/>
          <w:bCs/>
          <w:sz w:val="32"/>
        </w:rPr>
        <w:t>保持省实验室、省技术创新中心序列数量和省级财政支持总规模总体稳定，落实有进有出的动态管理机制。以稳定支持保障使命任务履行、核心研究能力和必要基本支出，推动举办主体、依托单位和属地落实投入与保障责任，形成持续稳定、多方协同的支持格局。</w:t>
      </w:r>
    </w:p>
    <w:p w14:paraId="6DE8D00D">
      <w:pPr>
        <w:spacing w:line="600" w:lineRule="exact"/>
        <w:ind w:firstLine="640"/>
        <w:rPr>
          <w:rFonts w:eastAsia="仿宋_GB2312"/>
          <w:sz w:val="32"/>
        </w:rPr>
      </w:pPr>
      <w:r>
        <w:rPr>
          <w:rFonts w:hint="eastAsia" w:ascii="楷体_GB2312" w:hAnsi="楷体_GB2312" w:eastAsia="楷体_GB2312" w:cs="楷体_GB2312"/>
          <w:sz w:val="32"/>
          <w:szCs w:val="32"/>
        </w:rPr>
        <w:t>（二）坚持实绩导向，强化分类激励。</w:t>
      </w:r>
      <w:r>
        <w:rPr>
          <w:rFonts w:eastAsia="仿宋_GB2312"/>
          <w:bCs/>
          <w:sz w:val="32"/>
        </w:rPr>
        <w:t>根据科创平台功能定位、使命任务和科研规律，分类评价、差异支持。引导科创平台聚焦重大标志性成果产出和产业落地实效，实行“以实绩定资金”，打破单家平台固定额度支持方式，以实际贡献分档核定实绩奖补额度，实绩奖补实行“多绩多补、少绩少补、无绩不补”，推动资源向成果突出、贡献显著的科创平台集聚。</w:t>
      </w:r>
    </w:p>
    <w:p w14:paraId="34CA8AC6">
      <w:pPr>
        <w:spacing w:line="600" w:lineRule="exact"/>
        <w:ind w:firstLine="640" w:firstLineChars="200"/>
        <w:rPr>
          <w:rFonts w:eastAsia="仿宋_GB2312"/>
          <w:sz w:val="32"/>
        </w:rPr>
      </w:pPr>
      <w:r>
        <w:rPr>
          <w:rFonts w:hint="eastAsia" w:ascii="楷体_GB2312" w:hAnsi="楷体_GB2312" w:eastAsia="楷体_GB2312" w:cs="楷体_GB2312"/>
          <w:sz w:val="32"/>
          <w:szCs w:val="32"/>
        </w:rPr>
        <w:t>（三）坚持放管结合，保障规范运行。</w:t>
      </w:r>
      <w:r>
        <w:rPr>
          <w:rFonts w:eastAsia="仿宋_GB2312"/>
          <w:bCs/>
          <w:sz w:val="32"/>
        </w:rPr>
        <w:t>充分赋予科创平台主攻方向凝练、技术路线选择、科研组织方式、经费统筹使用等方面自主权，同步强化资金监管、绩效管理和责任约束。推动评价结果互认、“一评多用”，切实减轻平台多头评价、重复评价负担。</w:t>
      </w:r>
    </w:p>
    <w:p w14:paraId="1E7FCF08">
      <w:pPr>
        <w:spacing w:line="600" w:lineRule="exact"/>
        <w:ind w:firstLine="640" w:firstLineChars="200"/>
        <w:outlineLvl w:val="0"/>
        <w:rPr>
          <w:rFonts w:eastAsia="黑体"/>
          <w:sz w:val="32"/>
          <w:szCs w:val="32"/>
        </w:rPr>
      </w:pPr>
      <w:r>
        <w:rPr>
          <w:rFonts w:eastAsia="黑体"/>
          <w:sz w:val="32"/>
          <w:szCs w:val="32"/>
        </w:rPr>
        <w:t>二、优化科研布局与前瞻创新机制</w:t>
      </w:r>
    </w:p>
    <w:p w14:paraId="7C401C37">
      <w:pPr>
        <w:spacing w:line="600" w:lineRule="exact"/>
        <w:ind w:firstLine="640" w:firstLineChars="200"/>
        <w:rPr>
          <w:rFonts w:eastAsia="仿宋_GB2312"/>
          <w:sz w:val="32"/>
          <w:szCs w:val="32"/>
          <w:highlight w:val="yellow"/>
        </w:rPr>
      </w:pPr>
      <w:r>
        <w:rPr>
          <w:rFonts w:eastAsia="仿宋_GB2312"/>
          <w:bCs/>
          <w:sz w:val="32"/>
          <w:szCs w:val="32"/>
        </w:rPr>
        <w:t>1.聚焦优化主攻方向。</w:t>
      </w:r>
      <w:r>
        <w:rPr>
          <w:rFonts w:eastAsia="仿宋_GB2312"/>
          <w:sz w:val="32"/>
          <w:szCs w:val="32"/>
        </w:rPr>
        <w:t>各科创平台应坚持“有所为有所不为”结合建设期建设成效，进一步聚焦凝练主攻方向，明确运行期重点任务和阶段目标，集中资源打造优势方向，提升创新效能。建立研究方向优化调整机制，根据科技前沿、产业需求和重大战略任务变化，适时优化方向布局，对与使命任务关联度低、成效有限、长期缺乏产出的研究方向，应及时调整。不得因人设方向、因人留方向，避免开展低水平、同质化、重复投入研究。</w:t>
      </w:r>
    </w:p>
    <w:p w14:paraId="40705D25">
      <w:pPr>
        <w:spacing w:line="600" w:lineRule="exact"/>
        <w:ind w:firstLine="640" w:firstLineChars="200"/>
        <w:rPr>
          <w:rFonts w:eastAsia="仿宋_GB2312"/>
          <w:sz w:val="32"/>
          <w:szCs w:val="32"/>
        </w:rPr>
      </w:pPr>
      <w:r>
        <w:rPr>
          <w:rFonts w:eastAsia="仿宋_GB2312"/>
          <w:bCs/>
          <w:sz w:val="32"/>
          <w:szCs w:val="32"/>
        </w:rPr>
        <w:t>2.前瞻布局新兴赛道。</w:t>
      </w:r>
      <w:r>
        <w:rPr>
          <w:rFonts w:eastAsia="仿宋_GB2312"/>
          <w:sz w:val="32"/>
          <w:szCs w:val="32"/>
        </w:rPr>
        <w:t>各科创平台应紧扣国家重大战略、省“315”科技创新体系和“415X”先进制造业产业集群建设需求，深入研判全球前沿科技发展趋势，结合主攻方向主动谋划、布局未来产业相关前瞻性研究方向，做好新兴领域技术储备，力争在若干前沿领域形成先发优势。</w:t>
      </w:r>
    </w:p>
    <w:p w14:paraId="20FF806E">
      <w:pPr>
        <w:spacing w:line="600" w:lineRule="exact"/>
        <w:ind w:firstLine="640" w:firstLineChars="200"/>
        <w:rPr>
          <w:rFonts w:eastAsia="仿宋_GB2312"/>
          <w:sz w:val="32"/>
          <w:szCs w:val="32"/>
        </w:rPr>
      </w:pPr>
      <w:r>
        <w:rPr>
          <w:rFonts w:eastAsia="仿宋_GB2312"/>
          <w:bCs/>
          <w:sz w:val="32"/>
          <w:szCs w:val="32"/>
        </w:rPr>
        <w:t>3.推进人工智能赋能。</w:t>
      </w:r>
      <w:r>
        <w:rPr>
          <w:rFonts w:eastAsia="仿宋_GB2312"/>
          <w:sz w:val="32"/>
          <w:szCs w:val="32"/>
        </w:rPr>
        <w:t>主攻方向为人工智能赛道的科创平台，要巩固提升攻关优势，持续增强原始创新与引领性突破能力；有条件在人工智能赛道拓展科研布局的科创平台，要聚焦相关产业与人工智能融合创新的新赛道、新领域，优化研究重点方向和项目布局等；其他科创平台要围绕“人工智能+科研”范式转变，深入开展跨界融合，推动人工智能技术与优势产业深度协同、双向赋能。</w:t>
      </w:r>
    </w:p>
    <w:p w14:paraId="1B9066FA">
      <w:pPr>
        <w:spacing w:line="600" w:lineRule="exact"/>
        <w:ind w:firstLine="640" w:firstLineChars="200"/>
        <w:rPr>
          <w:rFonts w:eastAsia="仿宋_GB2312"/>
          <w:sz w:val="32"/>
          <w:szCs w:val="32"/>
        </w:rPr>
      </w:pPr>
      <w:bookmarkStart w:id="0" w:name="OLE_LINK1"/>
      <w:bookmarkEnd w:id="0"/>
      <w:r>
        <w:rPr>
          <w:rFonts w:eastAsia="仿宋_GB2312"/>
          <w:bCs/>
          <w:sz w:val="32"/>
          <w:szCs w:val="32"/>
        </w:rPr>
        <w:t>4.建立协同发展机制。</w:t>
      </w:r>
      <w:r>
        <w:rPr>
          <w:rFonts w:eastAsia="仿宋_GB2312"/>
          <w:sz w:val="32"/>
          <w:szCs w:val="32"/>
        </w:rPr>
        <w:t>科创平台应立足自身科研定位，与依托单位错位协同发展，健全基础研究、应用基础研究、应用技术研发、工程化验证和成果转化有序衔接、协同联动机制。建立全省科创平台主攻方向统筹机制，引导同领域科创平台错位布局，防范同质化建设和重复投入。鼓励围绕重大科学问题、关键核心技术和产业共性需求开展协同合作，支持不同技术路线开展有序竞争。</w:t>
      </w:r>
    </w:p>
    <w:p w14:paraId="1DC31FE5">
      <w:pPr>
        <w:spacing w:line="600" w:lineRule="exact"/>
        <w:ind w:firstLine="640" w:firstLineChars="200"/>
        <w:outlineLvl w:val="0"/>
        <w:rPr>
          <w:rFonts w:eastAsia="黑体"/>
          <w:sz w:val="32"/>
          <w:szCs w:val="32"/>
        </w:rPr>
      </w:pPr>
      <w:r>
        <w:rPr>
          <w:rFonts w:eastAsia="黑体"/>
          <w:sz w:val="32"/>
          <w:szCs w:val="32"/>
        </w:rPr>
        <w:t>三、完善人才引育留用机制</w:t>
      </w:r>
    </w:p>
    <w:p w14:paraId="4B8F23B0">
      <w:pPr>
        <w:spacing w:line="600" w:lineRule="exact"/>
        <w:ind w:firstLine="640" w:firstLineChars="200"/>
        <w:rPr>
          <w:rFonts w:eastAsia="仿宋_GB2312"/>
          <w:sz w:val="32"/>
          <w:szCs w:val="32"/>
        </w:rPr>
      </w:pPr>
      <w:r>
        <w:rPr>
          <w:rFonts w:eastAsia="仿宋_GB2312"/>
          <w:bCs/>
          <w:sz w:val="32"/>
          <w:szCs w:val="32"/>
        </w:rPr>
        <w:t>5.选优配强核心人才力量。</w:t>
      </w:r>
      <w:r>
        <w:rPr>
          <w:rFonts w:eastAsia="仿宋_GB2312"/>
          <w:kern w:val="0"/>
          <w:sz w:val="32"/>
          <w:szCs w:val="32"/>
        </w:rPr>
        <w:t>根据实际科研需求，严格把控人才标准，注重科技领军人才和学术带头人等“灵魂”人物的遴选。</w:t>
      </w:r>
      <w:r>
        <w:rPr>
          <w:rFonts w:eastAsia="仿宋_GB2312"/>
          <w:sz w:val="32"/>
          <w:szCs w:val="32"/>
        </w:rPr>
        <w:t>科创平台主要负责人应由该领域具有国际国内影响力、强烈责任意识和统筹协调能力的战略科学家或管理专家担任，明确任期目标和履职要求。主持日常工作的负责人应当全职或全时在科创平台工作，自立项目要由科创平台全职或全时人员为主承担。</w:t>
      </w:r>
    </w:p>
    <w:p w14:paraId="73822B57">
      <w:pPr>
        <w:snapToGrid w:val="0"/>
        <w:spacing w:line="600" w:lineRule="exact"/>
        <w:ind w:firstLine="643"/>
        <w:rPr>
          <w:rFonts w:eastAsia="仿宋_GB2312"/>
          <w:sz w:val="32"/>
          <w:szCs w:val="32"/>
        </w:rPr>
      </w:pPr>
      <w:r>
        <w:rPr>
          <w:rFonts w:eastAsia="仿宋_GB2312"/>
          <w:bCs/>
          <w:sz w:val="32"/>
          <w:szCs w:val="32"/>
        </w:rPr>
        <w:t>6.稳定优化人才队伍。</w:t>
      </w:r>
      <w:r>
        <w:rPr>
          <w:rFonts w:eastAsia="仿宋_GB2312"/>
          <w:sz w:val="32"/>
          <w:szCs w:val="32"/>
        </w:rPr>
        <w:t>结合建设阶段，优化人才队伍结构，</w:t>
      </w:r>
      <w:r>
        <w:rPr>
          <w:rFonts w:eastAsia="仿宋_GB2312"/>
          <w:kern w:val="0"/>
          <w:sz w:val="32"/>
          <w:szCs w:val="32"/>
        </w:rPr>
        <w:t>壮大青年科技人才队伍，</w:t>
      </w:r>
      <w:r>
        <w:rPr>
          <w:rFonts w:eastAsia="仿宋_GB2312"/>
          <w:sz w:val="32"/>
          <w:szCs w:val="32"/>
        </w:rPr>
        <w:t>打造与科研任务相匹配的人才团队，形成全职、全时为主，专兼结合的高水平科研队伍。要保持人才队伍总体规模稳定，防止无序扩张，推动人才工作由建设期“以引为主”向运行期“培育为主、育用并重”转变。科创平台应厘清与依托单位权责边界，打造“以我为主”的核心科研骨干队伍。支持围绕具体任务组建项目制团队，任务完成后按需调整或者解散，形成稳定核心队伍与灵活协作力量相结合的用人格局。</w:t>
      </w:r>
    </w:p>
    <w:p w14:paraId="23DCC1C8">
      <w:pPr>
        <w:snapToGrid w:val="0"/>
        <w:spacing w:line="600" w:lineRule="exact"/>
        <w:ind w:firstLine="640" w:firstLineChars="200"/>
        <w:rPr>
          <w:rFonts w:eastAsia="仿宋_GB2312"/>
          <w:sz w:val="32"/>
          <w:szCs w:val="32"/>
        </w:rPr>
      </w:pPr>
      <w:r>
        <w:rPr>
          <w:rFonts w:eastAsia="仿宋_GB2312"/>
          <w:bCs/>
          <w:sz w:val="32"/>
          <w:szCs w:val="32"/>
        </w:rPr>
        <w:t>7.健全灵活用人机制。</w:t>
      </w:r>
      <w:r>
        <w:rPr>
          <w:rFonts w:eastAsia="仿宋_GB2312"/>
          <w:sz w:val="32"/>
          <w:szCs w:val="32"/>
        </w:rPr>
        <w:t>支持科创平台通过双聘、兼聘、柔性引才等方式，推动人才在科创平台与高校院所、企业之间有序流动，形成“编制在高校院所、科研在平台、转化在企业一线”的人才流动共享格局。通过协议明晰各类引才模式下的知识产权归属、成果收益分配与考核责任划分，针对灵活聘用科研人员在科创平台实际工作产出的科研成果，在科创考核评价中予以认可。</w:t>
      </w:r>
    </w:p>
    <w:p w14:paraId="78EC7E76">
      <w:pPr>
        <w:spacing w:line="600" w:lineRule="exact"/>
        <w:ind w:firstLine="640" w:firstLineChars="200"/>
        <w:rPr>
          <w:rFonts w:eastAsia="仿宋_GB2312"/>
          <w:sz w:val="32"/>
          <w:szCs w:val="32"/>
        </w:rPr>
      </w:pPr>
      <w:r>
        <w:rPr>
          <w:rFonts w:eastAsia="仿宋_GB2312"/>
          <w:bCs/>
          <w:sz w:val="32"/>
          <w:szCs w:val="32"/>
        </w:rPr>
        <w:t>8.强化考核激励约束。</w:t>
      </w:r>
      <w:r>
        <w:rPr>
          <w:rFonts w:eastAsia="仿宋_GB2312"/>
          <w:sz w:val="32"/>
          <w:szCs w:val="32"/>
        </w:rPr>
        <w:t>科创平台应建立以创新价值、能力、贡献为导向，激励与约束并重的人才考核机制，根据岗位职责和任务特点分类设置考核要求，推动考核结果与薪酬分配、岗位聘任和资源配置挂钩。推动人员能上能下，促进人才队伍合理有序流动。深化科教产融合，支持科创平台与高校院所联合开展研究生、博士后和工程技术人才实战化联合培养。支持符合条件的科创平台开展职称自主评审试点，落实报备员额制等人才政策。</w:t>
      </w:r>
    </w:p>
    <w:p w14:paraId="28EABFC7">
      <w:pPr>
        <w:spacing w:line="600" w:lineRule="exact"/>
        <w:ind w:firstLine="640" w:firstLineChars="200"/>
        <w:outlineLvl w:val="0"/>
        <w:rPr>
          <w:rFonts w:eastAsia="黑体"/>
          <w:sz w:val="32"/>
          <w:szCs w:val="32"/>
        </w:rPr>
      </w:pPr>
      <w:r>
        <w:rPr>
          <w:rFonts w:eastAsia="黑体"/>
          <w:sz w:val="32"/>
          <w:szCs w:val="32"/>
        </w:rPr>
        <w:t>四、强化任务牵引的科研组织攻关机制</w:t>
      </w:r>
    </w:p>
    <w:p w14:paraId="2E5C55ED">
      <w:pPr>
        <w:spacing w:line="600" w:lineRule="exact"/>
        <w:ind w:firstLine="640" w:firstLineChars="200"/>
        <w:rPr>
          <w:rFonts w:eastAsia="仿宋_GB2312"/>
          <w:sz w:val="32"/>
          <w:szCs w:val="32"/>
        </w:rPr>
      </w:pPr>
      <w:bookmarkStart w:id="1" w:name="OLE_LINK2"/>
      <w:bookmarkEnd w:id="1"/>
      <w:r>
        <w:rPr>
          <w:rFonts w:eastAsia="仿宋_GB2312"/>
          <w:bCs/>
          <w:sz w:val="32"/>
          <w:szCs w:val="32"/>
        </w:rPr>
        <w:t>9.优化科研组织模式。</w:t>
      </w:r>
      <w:r>
        <w:rPr>
          <w:rFonts w:eastAsia="仿宋_GB2312"/>
          <w:sz w:val="32"/>
          <w:szCs w:val="32"/>
        </w:rPr>
        <w:t>充分发挥学术带头人作用，强化有组织科研攻关，逐步改变“个体户PI”制科研方式，以重大科研任务为牵引，跨学科、跨领域、跨部门整合优势资源，形成“大兵团、大协同、大攻关、出大成果”的科研组织机制，强化从基础研究、技术攻关到成果转化运用的全链条联合攻关。探索实行项目经理人制度，专职负责跨领域、跨单位联合攻关的整体协调与过程管控，贯通基础研究、技术突破与产业赋能各环节，保障重大攻关任务高效落地。</w:t>
      </w:r>
    </w:p>
    <w:p w14:paraId="112749E9">
      <w:pPr>
        <w:spacing w:line="600" w:lineRule="exact"/>
        <w:ind w:firstLine="640" w:firstLineChars="200"/>
        <w:rPr>
          <w:rFonts w:eastAsia="仿宋_GB2312"/>
          <w:sz w:val="32"/>
          <w:szCs w:val="32"/>
        </w:rPr>
      </w:pPr>
      <w:r>
        <w:rPr>
          <w:rFonts w:eastAsia="仿宋_GB2312"/>
          <w:bCs/>
          <w:sz w:val="32"/>
          <w:szCs w:val="32"/>
        </w:rPr>
        <w:t>10.强化多主体协同。</w:t>
      </w:r>
      <w:r>
        <w:rPr>
          <w:rFonts w:eastAsia="仿宋_GB2312"/>
          <w:sz w:val="32"/>
          <w:szCs w:val="32"/>
        </w:rPr>
        <w:t>支持科创平台主动融入国家战略科技力量体系，争创国家实验室基地、国家技术创新中心等重大科创平台，积极承担国家战略任务，提升整体科研能级。深化与高校、科研院所、领军企业等创新主体的协同联动，开展目标导向、任务牵引的产学研联合攻关，推动创新链产业链资金链人才链深度融合，构建开放协同、优势互补、高效联动的科研攻关体系。</w:t>
      </w:r>
    </w:p>
    <w:p w14:paraId="04DA0AEB">
      <w:pPr>
        <w:spacing w:line="600" w:lineRule="exact"/>
        <w:ind w:firstLine="640" w:firstLineChars="200"/>
        <w:rPr>
          <w:rFonts w:eastAsia="黑体"/>
          <w:sz w:val="32"/>
          <w:szCs w:val="32"/>
        </w:rPr>
      </w:pPr>
      <w:r>
        <w:rPr>
          <w:rFonts w:eastAsia="仿宋_GB2312"/>
          <w:bCs/>
          <w:sz w:val="32"/>
          <w:szCs w:val="32"/>
        </w:rPr>
        <w:t>11.坚持需求导向攻关。</w:t>
      </w:r>
      <w:r>
        <w:rPr>
          <w:rFonts w:eastAsia="仿宋_GB2312"/>
          <w:sz w:val="32"/>
          <w:szCs w:val="32"/>
        </w:rPr>
        <w:t>聚焦主攻方向，深化“高校+平台+企业+产业链”结对合作与“四题一评”协同攻关双机制联动，支持科创平台与企业共建联合实验室，完善“科学家+工程师+企业家”协同模式，</w:t>
      </w:r>
      <w:r>
        <w:rPr>
          <w:rFonts w:eastAsia="仿宋_GB2312"/>
          <w:color w:val="000000"/>
          <w:sz w:val="32"/>
          <w:szCs w:val="32"/>
          <w:lang w:bidi="ar"/>
        </w:rPr>
        <w:t>构建覆盖产业链上下游企业的技术攻关联合体，支持依托联合实验室凝练和实施一批前沿颠覆性技术项目，确能形成重大成果和突破的，符合条件的纳入省“尖兵领雁”项目实施计划。</w:t>
      </w:r>
      <w:r>
        <w:rPr>
          <w:rFonts w:eastAsia="仿宋_GB2312"/>
          <w:sz w:val="32"/>
          <w:szCs w:val="32"/>
        </w:rPr>
        <w:t>科创平台与企业开展的横向合作项目，符合规定条件的，可按照有关程序上升为省重大科技计划项目。</w:t>
      </w:r>
    </w:p>
    <w:p w14:paraId="1D39D192">
      <w:pPr>
        <w:spacing w:line="600" w:lineRule="exact"/>
        <w:ind w:firstLine="640" w:firstLineChars="200"/>
        <w:outlineLvl w:val="0"/>
        <w:rPr>
          <w:rFonts w:eastAsia="黑体"/>
          <w:sz w:val="32"/>
          <w:szCs w:val="32"/>
        </w:rPr>
      </w:pPr>
      <w:r>
        <w:rPr>
          <w:rFonts w:eastAsia="黑体"/>
          <w:sz w:val="32"/>
          <w:szCs w:val="32"/>
        </w:rPr>
        <w:t>五、构建全链条成果转化机制</w:t>
      </w:r>
    </w:p>
    <w:p w14:paraId="5AEC62D2">
      <w:pPr>
        <w:spacing w:line="600" w:lineRule="exact"/>
        <w:ind w:firstLine="640" w:firstLineChars="200"/>
        <w:rPr>
          <w:rFonts w:eastAsia="仿宋_GB2312"/>
          <w:sz w:val="32"/>
          <w:szCs w:val="32"/>
        </w:rPr>
      </w:pPr>
      <w:r>
        <w:rPr>
          <w:rFonts w:eastAsia="仿宋_GB2312"/>
          <w:bCs/>
          <w:sz w:val="32"/>
          <w:szCs w:val="32"/>
        </w:rPr>
        <w:t>12.坚持研用贯通导向。</w:t>
      </w:r>
      <w:r>
        <w:rPr>
          <w:rFonts w:eastAsia="仿宋_GB2312"/>
          <w:sz w:val="32"/>
          <w:szCs w:val="32"/>
        </w:rPr>
        <w:t>聚焦“415X”先进制造业集群和优势产业链，坚持“研而有用、为用而研”，建立“边研究、边产出、边落地”的成果转化导向，推动科创平台与龙头骨干企业全维度协同创新，构建“科创平台技术源头供给—企业技术转化应用—产业培育壮大—产业集群建设”全过程创新链条，推动重大原创成果在浙落地产业化，突出成果转化成效在运行期考核评价权重。落实科技成果转化奖励、股权分红激励等政策，建立市场化的绩效评价与收入分配激励机制，支持科创平台按规定开展职务科技成果赋权改革。</w:t>
      </w:r>
    </w:p>
    <w:p w14:paraId="767E87A4">
      <w:pPr>
        <w:spacing w:line="600" w:lineRule="exact"/>
        <w:ind w:firstLine="640" w:firstLineChars="200"/>
        <w:rPr>
          <w:rFonts w:eastAsia="仿宋_GB2312"/>
          <w:sz w:val="32"/>
          <w:szCs w:val="32"/>
        </w:rPr>
      </w:pPr>
      <w:r>
        <w:rPr>
          <w:rFonts w:eastAsia="仿宋_GB2312"/>
          <w:bCs/>
          <w:sz w:val="32"/>
          <w:szCs w:val="32"/>
        </w:rPr>
        <w:t>13.打造成果转化服务体系。</w:t>
      </w:r>
      <w:r>
        <w:rPr>
          <w:rFonts w:eastAsia="仿宋_GB2312"/>
          <w:sz w:val="32"/>
          <w:szCs w:val="32"/>
        </w:rPr>
        <w:t>支持科创平台构建涵盖概念验证、中试熟化、产业化承接的全链条科研成果转化体系，通过概念验证优化科研项目布局，对基础研究成果“应验尽验”，打通成果转化“最初一公里”和“最后一公里”。鼓励科创平台率先开展“概念验证+技术经理人”试点，配齐稳定专业的技术经理人队伍，推动技术经理人嵌入科研团队，参与项目立项评审、里程碑检查等关键节点，对优质项目实行全程跟踪陪跑，协调解决融资对接、人才招聘、市场拓展、孵化落地等问题，保障项目“落得下、留得住、长得大。</w:t>
      </w:r>
    </w:p>
    <w:p w14:paraId="4697D8A3">
      <w:pPr>
        <w:spacing w:line="600" w:lineRule="exact"/>
        <w:ind w:firstLine="640" w:firstLineChars="200"/>
        <w:rPr>
          <w:rFonts w:eastAsia="仿宋_GB2312"/>
          <w:sz w:val="32"/>
          <w:szCs w:val="32"/>
        </w:rPr>
      </w:pPr>
      <w:r>
        <w:rPr>
          <w:rFonts w:eastAsia="仿宋_GB2312"/>
          <w:bCs/>
          <w:sz w:val="32"/>
          <w:szCs w:val="32"/>
        </w:rPr>
        <w:t>14.强化科技金融和公共服务支撑。</w:t>
      </w:r>
      <w:r>
        <w:rPr>
          <w:rFonts w:eastAsia="仿宋_GB2312"/>
          <w:sz w:val="32"/>
          <w:szCs w:val="32"/>
        </w:rPr>
        <w:t>引导社会资本投早、投小、投硬科技，以耐心资本为成果转化和硬科技创业提供全生命周期资金保障。支持有条件的科创平台依法依规开展早期成果孵化，成立面向早期成果和硬科技项目的转化基金。推动具备条件的科研设施、仪器设备、数据和技术资源开放共享，面向企业和科研机构提供研发、测试、验证等公共技术服务。公共服务成效综合考虑服务对象、服务质量、技术贡献和产业支撑作用，不以服务收入作为唯一评价依据。</w:t>
      </w:r>
    </w:p>
    <w:p w14:paraId="41D0F034">
      <w:pPr>
        <w:spacing w:line="600" w:lineRule="exact"/>
        <w:ind w:firstLine="640" w:firstLineChars="200"/>
        <w:outlineLvl w:val="0"/>
        <w:rPr>
          <w:rFonts w:eastAsia="黑体"/>
          <w:sz w:val="32"/>
          <w:szCs w:val="32"/>
        </w:rPr>
      </w:pPr>
      <w:r>
        <w:rPr>
          <w:rFonts w:eastAsia="黑体"/>
          <w:sz w:val="32"/>
          <w:szCs w:val="32"/>
        </w:rPr>
        <w:t>六、建立分类实绩绩效评价机制</w:t>
      </w:r>
    </w:p>
    <w:p w14:paraId="6B247BA6">
      <w:pPr>
        <w:spacing w:line="600" w:lineRule="exact"/>
        <w:ind w:firstLine="640" w:firstLineChars="200"/>
        <w:rPr>
          <w:rFonts w:eastAsia="仿宋_GB2312"/>
        </w:rPr>
      </w:pPr>
      <w:r>
        <w:rPr>
          <w:rFonts w:eastAsia="仿宋_GB2312"/>
          <w:bCs/>
          <w:sz w:val="32"/>
          <w:szCs w:val="32"/>
        </w:rPr>
        <w:t>15.优化运行期评价方式。</w:t>
      </w:r>
      <w:r>
        <w:rPr>
          <w:rFonts w:eastAsia="仿宋_GB2312"/>
          <w:sz w:val="32"/>
          <w:szCs w:val="32"/>
        </w:rPr>
        <w:t>依据《省实验室、省技术创新中心评估评价和动态调整管理办法（试行）》开展年度评价、中期评估及运行期满评估，保持评价制度的连续性和稳定性。支持省市县评价结果互认，避免重复考核，评价重点聚焦重大标志性科研成果产出与产业落地成效。</w:t>
      </w:r>
    </w:p>
    <w:p w14:paraId="407BD053">
      <w:pPr>
        <w:spacing w:line="600" w:lineRule="exact"/>
        <w:ind w:firstLine="640" w:firstLineChars="200"/>
        <w:rPr>
          <w:rFonts w:eastAsia="仿宋_GB2312"/>
          <w:sz w:val="32"/>
          <w:szCs w:val="32"/>
        </w:rPr>
      </w:pPr>
      <w:r>
        <w:rPr>
          <w:rFonts w:eastAsia="仿宋_GB2312"/>
          <w:bCs/>
          <w:sz w:val="32"/>
          <w:szCs w:val="32"/>
        </w:rPr>
        <w:t>16.完善评价指标体系。</w:t>
      </w:r>
      <w:r>
        <w:rPr>
          <w:rFonts w:eastAsia="仿宋_GB2312"/>
          <w:sz w:val="32"/>
          <w:szCs w:val="32"/>
        </w:rPr>
        <w:t>坚持以实绩论英雄，评价核心聚焦基础研究原始突破、关键技术攻关、产业转化落地、重大平台建设等实绩，构建可量化、可核验、可核算的实绩指标池。各科创平台可结合自身主攻方向，选择适配自身使命定位的考核指标，设置差异化评价维度：以基础研究为主的，侧重原创成果培育与长期价值挖掘；以应用攻关为主的，侧重核心技术突破；以产业赋能为主的，侧重企业应用落地与产业带动效应。</w:t>
      </w:r>
    </w:p>
    <w:p w14:paraId="5BA6FB1A">
      <w:pPr>
        <w:spacing w:line="600" w:lineRule="exact"/>
        <w:ind w:firstLine="640" w:firstLineChars="200"/>
        <w:rPr>
          <w:rFonts w:eastAsia="仿宋_GB2312"/>
          <w:sz w:val="32"/>
          <w:szCs w:val="32"/>
        </w:rPr>
      </w:pPr>
      <w:r>
        <w:rPr>
          <w:rFonts w:eastAsia="仿宋_GB2312"/>
          <w:bCs/>
          <w:sz w:val="32"/>
          <w:szCs w:val="32"/>
        </w:rPr>
        <w:t>17.强化评价结果运用。</w:t>
      </w:r>
      <w:r>
        <w:rPr>
          <w:rFonts w:eastAsia="仿宋_GB2312"/>
          <w:sz w:val="32"/>
          <w:szCs w:val="32"/>
        </w:rPr>
        <w:t>按照“一年一评价、两年一运用”原则，评价结果与年度补助资金挂钩。建立动态调整机制，经限期整改，对连续两年年度评价结果“未达三星”的科创平台，经综合研判并按程序报批后予以退出。整改期间不安排实绩奖补资金。</w:t>
      </w:r>
    </w:p>
    <w:p w14:paraId="17E1F061">
      <w:pPr>
        <w:spacing w:line="600" w:lineRule="exact"/>
        <w:ind w:firstLine="640" w:firstLineChars="200"/>
        <w:rPr>
          <w:rFonts w:eastAsia="仿宋_GB2312"/>
          <w:sz w:val="32"/>
          <w:szCs w:val="32"/>
        </w:rPr>
      </w:pPr>
      <w:r>
        <w:rPr>
          <w:rFonts w:eastAsia="仿宋_GB2312"/>
          <w:bCs/>
          <w:sz w:val="32"/>
          <w:szCs w:val="32"/>
        </w:rPr>
        <w:t>18.建立尽职免责机制。</w:t>
      </w:r>
      <w:r>
        <w:rPr>
          <w:rFonts w:eastAsia="仿宋_GB2312"/>
          <w:sz w:val="32"/>
          <w:szCs w:val="32"/>
        </w:rPr>
        <w:t>充分尊重基础研究和科技创新规律，对已严格落实各项规定、规范使用科研经费，且团队勤勉尽责开展研究，但因科学认知局限、技术路线固有盲区或不可预见因素导致项目未达到预期目标的，按照有关规定依法依规落实尽职免责。相关项目不纳入科创平台年度实绩负面扣减范围，不作为削减稳定支持经费或启动退出机制的依据，营造敢闯敢试、宽容失败的创新生态。</w:t>
      </w:r>
    </w:p>
    <w:p w14:paraId="330A8799">
      <w:pPr>
        <w:spacing w:line="600" w:lineRule="exact"/>
        <w:ind w:firstLine="640" w:firstLineChars="200"/>
        <w:outlineLvl w:val="0"/>
        <w:rPr>
          <w:rFonts w:eastAsia="黑体"/>
          <w:sz w:val="32"/>
          <w:szCs w:val="32"/>
        </w:rPr>
      </w:pPr>
      <w:r>
        <w:rPr>
          <w:rFonts w:eastAsia="黑体"/>
          <w:sz w:val="32"/>
          <w:szCs w:val="32"/>
        </w:rPr>
        <w:t>七、创新财政资金保障机制</w:t>
      </w:r>
    </w:p>
    <w:p w14:paraId="71FD03D0">
      <w:pPr>
        <w:spacing w:line="600" w:lineRule="exact"/>
        <w:ind w:firstLine="640" w:firstLineChars="200"/>
        <w:rPr>
          <w:rFonts w:eastAsia="仿宋_GB2312"/>
          <w:sz w:val="32"/>
          <w:szCs w:val="32"/>
        </w:rPr>
      </w:pPr>
      <w:r>
        <w:rPr>
          <w:rFonts w:eastAsia="仿宋_GB2312"/>
          <w:bCs/>
          <w:sz w:val="32"/>
          <w:szCs w:val="32"/>
        </w:rPr>
        <w:t>19.优化资金支持方式。</w:t>
      </w:r>
      <w:r>
        <w:rPr>
          <w:rFonts w:eastAsia="仿宋_GB2312"/>
          <w:sz w:val="32"/>
          <w:szCs w:val="32"/>
        </w:rPr>
        <w:t>保持省级财政支持规模总体稳定，省财政资金实行“稳定支持＋实绩奖补”相结合的支持模式，打破单家科创平台固定额度支持方式，实行“多绩多补、少绩少补、无绩不补”，根据使命任务、核心能力和实际贡献安排支持资金。引导科创平台“以实绩换经费”，稳定支持资金、实绩奖补资金按财政预算管理程序予以安排下达。</w:t>
      </w:r>
    </w:p>
    <w:p w14:paraId="3455085B">
      <w:pPr>
        <w:spacing w:line="600" w:lineRule="exact"/>
        <w:ind w:firstLine="640" w:firstLineChars="200"/>
        <w:rPr>
          <w:rFonts w:eastAsia="仿宋_GB2312"/>
          <w:sz w:val="32"/>
          <w:szCs w:val="32"/>
        </w:rPr>
      </w:pPr>
      <w:r>
        <w:rPr>
          <w:rFonts w:eastAsia="仿宋_GB2312"/>
          <w:bCs/>
          <w:sz w:val="32"/>
          <w:szCs w:val="32"/>
        </w:rPr>
        <w:t>20.明确资金使用范围。</w:t>
      </w:r>
      <w:r>
        <w:rPr>
          <w:rFonts w:eastAsia="仿宋_GB2312"/>
          <w:sz w:val="32"/>
          <w:szCs w:val="32"/>
        </w:rPr>
        <w:t>省财政资金按项目经费方式管理，主要用于平台聚焦主攻方向组织实施“双尖双领+X”研发攻关计划项目，其余可用于相关高层次人才团队引育、平台建设、科技成果转化，不得用于基本建设、赞助、捐赠、投资、支付各种罚款、偿还债务等。省实验室用于基础研究的比例不低于50%，省技术创新中心资金突出关键核心技术攻关与成果转化。</w:t>
      </w:r>
    </w:p>
    <w:p w14:paraId="0933C19C">
      <w:pPr>
        <w:spacing w:line="600" w:lineRule="exact"/>
        <w:ind w:firstLine="640" w:firstLineChars="200"/>
        <w:rPr>
          <w:rFonts w:eastAsia="仿宋_GB2312"/>
          <w:sz w:val="32"/>
          <w:szCs w:val="32"/>
        </w:rPr>
      </w:pPr>
      <w:r>
        <w:rPr>
          <w:rFonts w:eastAsia="仿宋_GB2312"/>
          <w:bCs/>
          <w:sz w:val="32"/>
          <w:szCs w:val="32"/>
        </w:rPr>
        <w:t>21.健全多元投入机制。</w:t>
      </w:r>
      <w:r>
        <w:rPr>
          <w:rFonts w:eastAsia="仿宋_GB2312"/>
          <w:sz w:val="32"/>
          <w:szCs w:val="32"/>
        </w:rPr>
        <w:t>推动科创平台构建多元投入体系，形成政府、依托单位、企业和社会力量多元投入格局。将企业和社会投入、技术合同成交额、成果转化、孵化企业等成效纳入绩效评价和奖补核算范围基础上，重点评价科创平台争取省级和国家重大科技攻关项目等竞争性项目的能力。</w:t>
      </w:r>
    </w:p>
    <w:p w14:paraId="601BFEEA">
      <w:pPr>
        <w:spacing w:line="600" w:lineRule="exact"/>
        <w:ind w:firstLine="640" w:firstLineChars="200"/>
        <w:outlineLvl w:val="0"/>
        <w:rPr>
          <w:rFonts w:eastAsia="黑体"/>
          <w:sz w:val="32"/>
          <w:szCs w:val="32"/>
        </w:rPr>
      </w:pPr>
      <w:r>
        <w:rPr>
          <w:rFonts w:eastAsia="黑体"/>
          <w:sz w:val="32"/>
          <w:szCs w:val="32"/>
        </w:rPr>
        <w:t>八、健全内部管理与属地保障机制</w:t>
      </w:r>
    </w:p>
    <w:p w14:paraId="70DD69E5">
      <w:pPr>
        <w:spacing w:line="600" w:lineRule="exact"/>
        <w:ind w:firstLine="640" w:firstLineChars="200"/>
        <w:rPr>
          <w:rFonts w:eastAsia="仿宋_GB2312"/>
          <w:sz w:val="32"/>
          <w:szCs w:val="32"/>
        </w:rPr>
      </w:pPr>
      <w:r>
        <w:rPr>
          <w:rFonts w:eastAsia="仿宋_GB2312"/>
          <w:bCs/>
          <w:sz w:val="32"/>
          <w:szCs w:val="32"/>
        </w:rPr>
        <w:t>22.规范内控管理机制。</w:t>
      </w:r>
      <w:r>
        <w:rPr>
          <w:rFonts w:eastAsia="仿宋_GB2312"/>
          <w:sz w:val="32"/>
          <w:szCs w:val="32"/>
        </w:rPr>
        <w:t>坚持放权赋能与规范管理相统一，聚焦人事、财务、资产设备重点领域，推动平台建立权责清晰、运行规范、监督有效的内部控制体系。围绕人才招聘引进、资金存放使用、资产采购管理等重点环节，分类明确管理要求，健全议事决策、授权审批和风险防控机制，确保各类资源配置与科创平台功能定位、使命任务相匹配。强化评价刚性约束，将人财物管理规范情况纳入绩效评价，对偏离主责主业、变相利益输送，以及发生违规用人、违规使用资金、违规采购等问题的，在绩效评价中实行一票否决，直接纳入整改清单。</w:t>
      </w:r>
    </w:p>
    <w:p w14:paraId="1529961A">
      <w:pPr>
        <w:spacing w:line="600" w:lineRule="exact"/>
        <w:ind w:firstLine="640" w:firstLineChars="200"/>
        <w:rPr>
          <w:rFonts w:eastAsia="仿宋_GB2312"/>
          <w:sz w:val="32"/>
          <w:szCs w:val="32"/>
        </w:rPr>
      </w:pPr>
      <w:r>
        <w:rPr>
          <w:rFonts w:eastAsia="仿宋_GB2312"/>
          <w:bCs/>
          <w:sz w:val="32"/>
          <w:szCs w:val="32"/>
        </w:rPr>
        <w:t>23.厘清各方权责边界。</w:t>
      </w:r>
      <w:r>
        <w:rPr>
          <w:rFonts w:eastAsia="仿宋_GB2312"/>
          <w:sz w:val="32"/>
          <w:szCs w:val="32"/>
        </w:rPr>
        <w:t>明晰省级部门与依托单位履职边界，压实各方监管责任。省科技主管部门牵头负责科创平台运行期管理职责，统筹组织绩效评价、动态调整、资源配置及资金安排建议等工作；省财政部门负责财政资金预算安排、审核拨付及全过程绩效管理监督。依托单位严格履行管理责任，保障科创平台依法依规相对独立运行，对平台资产安全、经费合规使用、科研诚信建设、安全生产履行监管职责，严禁截留、挤占、挪用科创平台财政资金。</w:t>
      </w:r>
    </w:p>
    <w:p w14:paraId="6B402C69">
      <w:pPr>
        <w:spacing w:line="600" w:lineRule="exact"/>
        <w:ind w:firstLine="640" w:firstLineChars="200"/>
        <w:outlineLvl w:val="0"/>
        <w:rPr>
          <w:rFonts w:eastAsia="仿宋_GB2312"/>
          <w:sz w:val="32"/>
          <w:szCs w:val="32"/>
        </w:rPr>
      </w:pPr>
      <w:r>
        <w:rPr>
          <w:rFonts w:eastAsia="仿宋_GB2312"/>
          <w:bCs/>
          <w:sz w:val="32"/>
          <w:szCs w:val="32"/>
        </w:rPr>
        <w:t>24.压实属地保障责任。</w:t>
      </w:r>
      <w:r>
        <w:rPr>
          <w:rFonts w:eastAsia="仿宋_GB2312"/>
          <w:sz w:val="32"/>
          <w:szCs w:val="32"/>
        </w:rPr>
        <w:t>科创平台所在地政府要切实履行保障职责，建立健全稳定支持体系，全面落实共建协议及承诺的配套资金、载体资源、政策保障等事项，做到足额保障、及时到位。严禁以省级财政支持政策调整为由，擅自缩减、迟延拨付或抵扣地方配套投入，确保科创平台属地支撑保障连续稳定、落地见效。</w:t>
      </w:r>
    </w:p>
    <w:p w14:paraId="5E3E547D">
      <w:pPr>
        <w:spacing w:line="600" w:lineRule="exact"/>
        <w:ind w:firstLine="640" w:firstLineChars="200"/>
        <w:outlineLvl w:val="0"/>
        <w:rPr>
          <w:rFonts w:hint="eastAsia" w:ascii="楷体_GB2312" w:hAnsi="楷体_GB2312" w:eastAsia="楷体_GB2312" w:cs="楷体_GB2312"/>
          <w:sz w:val="32"/>
          <w:szCs w:val="32"/>
        </w:rPr>
      </w:pPr>
      <w:r>
        <w:rPr>
          <w:rFonts w:eastAsia="仿宋_GB2312"/>
          <w:sz w:val="32"/>
          <w:szCs w:val="32"/>
        </w:rPr>
        <w:t xml:space="preserve">本实施方案自 2026 年 </w:t>
      </w:r>
      <w:r>
        <w:rPr>
          <w:rFonts w:hint="eastAsia" w:eastAsia="仿宋_GB2312"/>
          <w:sz w:val="32"/>
          <w:szCs w:val="32"/>
        </w:rPr>
        <w:t>XXX</w:t>
      </w:r>
      <w:r>
        <w:rPr>
          <w:rFonts w:eastAsia="仿宋_GB2312"/>
          <w:sz w:val="32"/>
          <w:szCs w:val="32"/>
        </w:rPr>
        <w:t xml:space="preserve"> 月</w:t>
      </w:r>
      <w:r>
        <w:rPr>
          <w:rFonts w:hint="eastAsia" w:eastAsia="仿宋_GB2312"/>
          <w:sz w:val="32"/>
          <w:szCs w:val="32"/>
        </w:rPr>
        <w:t>XXX</w:t>
      </w:r>
      <w:r>
        <w:rPr>
          <w:rFonts w:eastAsia="仿宋_GB2312"/>
          <w:sz w:val="32"/>
          <w:szCs w:val="32"/>
        </w:rPr>
        <w:t xml:space="preserve"> 日起施行。</w:t>
      </w:r>
    </w:p>
    <w:p w14:paraId="75427509">
      <w:pPr>
        <w:spacing w:line="400" w:lineRule="exact"/>
        <w:rPr>
          <w:rFonts w:hint="eastAsia"/>
        </w:rPr>
      </w:pPr>
      <w:r>
        <w:rPr>
          <w:rFonts w:hint="eastAsia" w:ascii="仿宋_GB2312" w:hAnsi="华文中宋" w:eastAsia="仿宋_GB2312"/>
          <w:sz w:val="32"/>
          <w:szCs w:val="32"/>
        </w:rPr>
        <w:t>　</w:t>
      </w:r>
    </w:p>
    <w:p w14:paraId="7CA953D9">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CF9AA8-0753-4F9C-A982-515AD3DA4E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20B8812-F118-48ED-9755-80C31729857C}"/>
  </w:font>
  <w:font w:name="方正小标宋简体">
    <w:panose1 w:val="02000000000000000000"/>
    <w:charset w:val="86"/>
    <w:family w:val="script"/>
    <w:pitch w:val="default"/>
    <w:sig w:usb0="00000001" w:usb1="08000000" w:usb2="00000000" w:usb3="00000000" w:csb0="00040000" w:csb1="00000000"/>
    <w:embedRegular r:id="rId3" w:fontKey="{6BF269C7-C6AA-490F-A673-17039C4E7868}"/>
  </w:font>
  <w:font w:name="楷体_GB2312">
    <w:altName w:val="楷体"/>
    <w:panose1 w:val="02010609030101010101"/>
    <w:charset w:val="86"/>
    <w:family w:val="modern"/>
    <w:pitch w:val="default"/>
    <w:sig w:usb0="00000000" w:usb1="00000000" w:usb2="00000010" w:usb3="00000000" w:csb0="00040000" w:csb1="00000000"/>
    <w:embedRegular r:id="rId4" w:fontKey="{4F1CA4CC-7998-4C0A-B975-FA4D71017033}"/>
  </w:font>
  <w:font w:name="方正仿宋_GB2312">
    <w:panose1 w:val="02000000000000000000"/>
    <w:charset w:val="86"/>
    <w:family w:val="auto"/>
    <w:pitch w:val="default"/>
    <w:sig w:usb0="A00002BF" w:usb1="184F6CFA" w:usb2="00000012" w:usb3="00000000" w:csb0="00040001" w:csb1="00000000"/>
    <w:embedRegular r:id="rId5" w:fontKey="{E72F7014-877C-4879-901F-CCB4FFE11E92}"/>
  </w:font>
  <w:font w:name="仿宋_GB2312">
    <w:altName w:val="仿宋"/>
    <w:panose1 w:val="02010609030101010101"/>
    <w:charset w:val="86"/>
    <w:family w:val="modern"/>
    <w:pitch w:val="default"/>
    <w:sig w:usb0="00000000" w:usb1="00000000" w:usb2="00000010" w:usb3="00000000" w:csb0="00040000" w:csb1="00000000"/>
    <w:embedRegular r:id="rId6" w:fontKey="{5C87F2BB-E134-43B9-9A57-961ED39DBA03}"/>
  </w:font>
  <w:font w:name="华文中宋">
    <w:panose1 w:val="02010600040101010101"/>
    <w:charset w:val="86"/>
    <w:family w:val="auto"/>
    <w:pitch w:val="default"/>
    <w:sig w:usb0="00000287" w:usb1="080F0000" w:usb2="00000000" w:usb3="00000000" w:csb0="0004009F" w:csb1="DFD70000"/>
    <w:embedRegular r:id="rId7" w:fontKey="{9C74D0B3-21CE-488B-BD96-D00C2BFB6542}"/>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7A735B"/>
    <w:rsid w:val="337A7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unhideWhenUsed/>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2026-10-20T02:19:00Z</dcterms:created>
  <dc:creator>rcs</dc:creator>
  <cp:lastModifiedBy>rcs</cp:lastModifiedBy>
  <dcterms:modified xsi:type="dcterms:W3CDTF">2026-10-20T02:20:56Z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BC2997F7639B4052AA21BB5379537012_11</vt:lpwstr>
  </property>
  <property fmtid="{D5CDD505-2E9C-101B-9397-08002B2CF9AE}" pid="4" name="KSOTemplateDocerSaveRecord">
    <vt:lpwstr>eyJoZGlkIjoiYTAzMWYwODk5ZjZkNjRjMzliNTlmOTk3YzY0NmY0OWQiLCJ1c2VySWQiOiIyMzM2MTEzMDAifQ==</vt:lpwstr>
  </property>
</Properties>
</file>