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070C84D">
      <w:pPr>
        <w:keepNext w:val="0"/>
        <w:keepLines w:val="0"/>
        <w:pageBreakBefore w:val="0"/>
        <w:widowControl w:val="0"/>
        <w:kinsoku/>
        <w:wordWrap/>
        <w:overflowPunct/>
        <w:topLinePunct w:val="0"/>
        <w:autoSpaceDE/>
        <w:autoSpaceDN/>
        <w:bidi w:val="0"/>
        <w:adjustRightInd/>
        <w:snapToGrid/>
        <w:spacing w:line="640" w:lineRule="exact"/>
        <w:textAlignment w:val="auto"/>
        <w:rPr>
          <w:rFonts w:hint="default" w:ascii="黑体" w:hAnsi="黑体" w:eastAsia="黑体" w:cs="黑体"/>
          <w:sz w:val="32"/>
          <w:szCs w:val="32"/>
          <w:lang w:val="en-US" w:eastAsia="zh-CN"/>
        </w:rPr>
      </w:pPr>
      <w:r>
        <w:rPr>
          <w:rFonts w:hint="eastAsia" w:ascii="黑体" w:hAnsi="黑体" w:eastAsia="黑体" w:cs="黑体"/>
          <w:sz w:val="32"/>
          <w:szCs w:val="32"/>
          <w:lang w:eastAsia="zh-CN"/>
        </w:rPr>
        <w:t>附件</w:t>
      </w:r>
      <w:r>
        <w:rPr>
          <w:rFonts w:hint="eastAsia" w:ascii="黑体" w:hAnsi="黑体" w:eastAsia="黑体" w:cs="黑体"/>
          <w:sz w:val="32"/>
          <w:szCs w:val="32"/>
          <w:lang w:val="en-US" w:eastAsia="zh-CN"/>
        </w:rPr>
        <w:t>2</w:t>
      </w:r>
    </w:p>
    <w:p w14:paraId="22E22062">
      <w:pPr>
        <w:keepNext w:val="0"/>
        <w:keepLines w:val="0"/>
        <w:pageBreakBefore w:val="0"/>
        <w:widowControl w:val="0"/>
        <w:kinsoku/>
        <w:wordWrap/>
        <w:overflowPunct/>
        <w:topLinePunct w:val="0"/>
        <w:autoSpaceDE/>
        <w:autoSpaceDN/>
        <w:bidi w:val="0"/>
        <w:adjustRightInd/>
        <w:snapToGrid/>
        <w:spacing w:line="640" w:lineRule="exact"/>
        <w:textAlignment w:val="auto"/>
        <w:rPr>
          <w:rFonts w:hint="eastAsia" w:ascii="黑体" w:hAnsi="黑体" w:eastAsia="黑体" w:cs="黑体"/>
          <w:sz w:val="44"/>
          <w:szCs w:val="44"/>
          <w:lang w:eastAsia="zh-CN"/>
        </w:rPr>
      </w:pPr>
      <w:bookmarkStart w:id="0" w:name="_GoBack"/>
      <w:bookmarkEnd w:id="0"/>
    </w:p>
    <w:p w14:paraId="49775FC4">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《杭州市加快建设人工智能创新高地的若干政策举措（2026年版）》起草说明</w:t>
      </w:r>
    </w:p>
    <w:p w14:paraId="766F12D6">
      <w:pPr>
        <w:keepNext w:val="0"/>
        <w:keepLines w:val="0"/>
        <w:pageBreakBefore w:val="0"/>
        <w:widowControl w:val="0"/>
        <w:kinsoku/>
        <w:wordWrap/>
        <w:overflowPunct/>
        <w:topLinePunct w:val="0"/>
        <w:autoSpaceDE/>
        <w:autoSpaceDN/>
        <w:bidi w:val="0"/>
        <w:adjustRightInd/>
        <w:snapToGrid/>
        <w:textAlignment w:val="auto"/>
        <w:rPr>
          <w:rFonts w:hint="eastAsia" w:ascii="仿宋_GB2312" w:hAnsi="仿宋_GB2312" w:eastAsia="仿宋_GB2312" w:cs="仿宋_GB2312"/>
          <w:spacing w:val="0"/>
          <w:sz w:val="32"/>
          <w:szCs w:val="32"/>
          <w:lang w:eastAsia="zh-CN"/>
        </w:rPr>
      </w:pPr>
    </w:p>
    <w:p w14:paraId="69B40DB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一、制定背景和过程</w:t>
      </w:r>
    </w:p>
    <w:p w14:paraId="36CAEE4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仿宋_GB2312" w:hAnsi="仿宋_GB2312" w:eastAsia="仿宋_GB2312" w:cs="仿宋_GB2312"/>
          <w:spacing w:val="0"/>
          <w:sz w:val="32"/>
          <w:szCs w:val="32"/>
        </w:rPr>
        <w:t>为加快</w:t>
      </w:r>
      <w:r>
        <w:rPr>
          <w:rFonts w:hint="eastAsia" w:ascii="仿宋_GB2312" w:hAnsi="仿宋_GB2312" w:eastAsia="仿宋_GB2312" w:cs="仿宋_GB2312"/>
          <w:spacing w:val="0"/>
          <w:sz w:val="32"/>
          <w:szCs w:val="32"/>
          <w:lang w:val="en-US" w:eastAsia="zh-CN"/>
        </w:rPr>
        <w:t>建设人工智能创新发展第一城，全力降低人工智能企业创新成本，市发展改革委</w:t>
      </w:r>
      <w:r>
        <w:rPr>
          <w:rFonts w:hint="eastAsia" w:ascii="仿宋_GB2312" w:hAnsi="仿宋_GB2312" w:eastAsia="仿宋_GB2312" w:cs="仿宋_GB2312"/>
          <w:sz w:val="32"/>
          <w:szCs w:val="32"/>
          <w:lang w:val="en-US" w:eastAsia="zh-CN"/>
        </w:rPr>
        <w:t>结合国家政策有关要求和产业实际发展趋势，围绕开源生态、具身智能、国际合作等人工智能重点领域开展了广泛调研，并组织政策具体实施部门</w:t>
      </w:r>
      <w:r>
        <w:rPr>
          <w:rFonts w:hint="eastAsia" w:ascii="仿宋_GB2312" w:hAnsi="仿宋_GB2312" w:eastAsia="仿宋_GB2312" w:cs="仿宋_GB2312"/>
          <w:i w:val="0"/>
          <w:iCs w:val="0"/>
          <w:caps w:val="0"/>
          <w:color w:val="auto"/>
          <w:spacing w:val="0"/>
          <w:sz w:val="32"/>
          <w:szCs w:val="32"/>
          <w:highlight w:val="none"/>
          <w:shd w:val="clear" w:color="auto" w:fill="FFFFFF"/>
          <w:lang w:val="en-US" w:eastAsia="zh-CN"/>
        </w:rPr>
        <w:t>、各区县（市）</w:t>
      </w:r>
      <w:r>
        <w:rPr>
          <w:rFonts w:hint="eastAsia" w:ascii="仿宋_GB2312" w:hAnsi="仿宋_GB2312" w:eastAsia="仿宋_GB2312" w:cs="仿宋_GB2312"/>
          <w:sz w:val="32"/>
          <w:szCs w:val="32"/>
          <w:lang w:val="en-US" w:eastAsia="zh-CN"/>
        </w:rPr>
        <w:t>开展了多轮研究座谈，学习借鉴国内先进城市经验做法，</w:t>
      </w:r>
      <w:r>
        <w:rPr>
          <w:rFonts w:hint="eastAsia" w:ascii="仿宋_GB2312" w:hAnsi="仿宋_GB2312" w:eastAsia="仿宋_GB2312" w:cs="仿宋_GB2312"/>
          <w:spacing w:val="0"/>
          <w:sz w:val="32"/>
          <w:szCs w:val="32"/>
          <w:lang w:val="en-US" w:eastAsia="zh-CN"/>
        </w:rPr>
        <w:t>牵头</w:t>
      </w:r>
      <w:r>
        <w:rPr>
          <w:rFonts w:hint="eastAsia" w:ascii="仿宋_GB2312" w:hAnsi="仿宋_GB2312" w:eastAsia="仿宋_GB2312" w:cs="仿宋_GB2312"/>
          <w:spacing w:val="0"/>
          <w:sz w:val="32"/>
          <w:szCs w:val="32"/>
        </w:rPr>
        <w:t>起草了《杭州市加快建设人工智能创新高地的若干政策举措（2026年版）</w:t>
      </w:r>
      <w:r>
        <w:rPr>
          <w:rFonts w:hint="eastAsia" w:ascii="仿宋_GB2312" w:hAnsi="仿宋_GB2312" w:eastAsia="仿宋_GB2312" w:cs="仿宋_GB2312"/>
          <w:sz w:val="32"/>
          <w:szCs w:val="32"/>
        </w:rPr>
        <w:t>（征求意见稿）</w:t>
      </w:r>
      <w:r>
        <w:rPr>
          <w:rFonts w:hint="eastAsia" w:ascii="仿宋_GB2312" w:hAnsi="仿宋_GB2312" w:eastAsia="仿宋_GB2312" w:cs="仿宋_GB2312"/>
          <w:spacing w:val="0"/>
          <w:sz w:val="32"/>
          <w:szCs w:val="32"/>
        </w:rPr>
        <w:t>》</w:t>
      </w:r>
      <w:r>
        <w:rPr>
          <w:rFonts w:hint="eastAsia" w:ascii="仿宋_GB2312" w:hAnsi="仿宋_GB2312" w:eastAsia="仿宋_GB2312" w:cs="仿宋_GB2312"/>
          <w:spacing w:val="0"/>
          <w:sz w:val="32"/>
          <w:szCs w:val="32"/>
          <w:lang w:eastAsia="zh-CN"/>
        </w:rPr>
        <w:t>（</w:t>
      </w:r>
      <w:r>
        <w:rPr>
          <w:rFonts w:hint="eastAsia" w:ascii="仿宋_GB2312" w:hAnsi="仿宋_GB2312" w:eastAsia="仿宋_GB2312" w:cs="仿宋_GB2312"/>
          <w:spacing w:val="0"/>
          <w:sz w:val="32"/>
          <w:szCs w:val="32"/>
          <w:lang w:val="en-US" w:eastAsia="zh-CN"/>
        </w:rPr>
        <w:t>以下简称《政策举措》</w:t>
      </w:r>
      <w:r>
        <w:rPr>
          <w:rFonts w:hint="eastAsia" w:ascii="仿宋_GB2312" w:hAnsi="仿宋_GB2312" w:eastAsia="仿宋_GB2312" w:cs="仿宋_GB2312"/>
          <w:spacing w:val="0"/>
          <w:sz w:val="32"/>
          <w:szCs w:val="32"/>
          <w:lang w:eastAsia="zh-CN"/>
        </w:rPr>
        <w:t>）。</w:t>
      </w:r>
    </w:p>
    <w:p w14:paraId="49B356E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二、制定依据</w:t>
      </w:r>
    </w:p>
    <w:p w14:paraId="6364A72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《国务院关于深入实施“人工智能+”行动的意见》</w:t>
      </w:r>
    </w:p>
    <w:p w14:paraId="4C4F220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2.《国家发展改革委等部门关于深入实施“东数西算”工程加快构建全国一体化算力网的实施意见》</w:t>
      </w:r>
    </w:p>
    <w:p w14:paraId="506EEAB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3.《工业和信息化部办公厅关于开展普惠算力赋能中小企业发展专项行动的通知》</w:t>
      </w:r>
    </w:p>
    <w:p w14:paraId="504E898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4.《国家数据局关于推进行业高质量数据集建设行动的实施方案》</w:t>
      </w:r>
    </w:p>
    <w:p w14:paraId="0D45331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5.《科技部等部门关于加快推动科技保险高质量发展 有力支撑高水平科技自立自强的若干意见》</w:t>
      </w:r>
    </w:p>
    <w:p w14:paraId="27ACB14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6.《国家发展改革委等部门关于促进数据标注产业高质量发展的实施意见》</w:t>
      </w:r>
    </w:p>
    <w:p w14:paraId="4153ED5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7.《国家发展改革委等部门关于加强数字经济创新型企业培育的若干措施》</w:t>
      </w:r>
    </w:p>
    <w:p w14:paraId="70944727">
      <w:pPr>
        <w:keepNext w:val="0"/>
        <w:keepLines w:val="0"/>
        <w:pageBreakBefore w:val="0"/>
        <w:widowControl w:val="0"/>
        <w:numPr>
          <w:ilvl w:val="0"/>
          <w:numId w:val="0"/>
        </w:numPr>
        <w:kinsoku/>
        <w:wordWrap/>
        <w:overflowPunct/>
        <w:topLinePunct w:val="0"/>
        <w:autoSpaceDE/>
        <w:autoSpaceDN/>
        <w:bidi w:val="0"/>
        <w:spacing w:line="560" w:lineRule="exact"/>
        <w:ind w:firstLine="640" w:firstLineChars="200"/>
        <w:jc w:val="both"/>
        <w:textAlignment w:val="auto"/>
        <w:rPr>
          <w:rFonts w:hint="default" w:ascii="黑体" w:hAnsi="黑体" w:eastAsia="黑体" w:cs="黑体"/>
          <w:color w:val="auto"/>
          <w:spacing w:val="17"/>
          <w:sz w:val="32"/>
          <w:szCs w:val="32"/>
          <w:lang w:val="en-US" w:eastAsia="zh-CN"/>
        </w:rPr>
      </w:pPr>
      <w:r>
        <w:rPr>
          <w:rFonts w:hint="eastAsia" w:ascii="黑体" w:hAnsi="黑体" w:eastAsia="黑体" w:cs="黑体"/>
          <w:sz w:val="32"/>
          <w:szCs w:val="32"/>
          <w:lang w:val="en-US" w:eastAsia="zh-CN"/>
        </w:rPr>
        <w:t>三、主要内容</w:t>
      </w:r>
    </w:p>
    <w:p w14:paraId="3BF3302B">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《政策举措》提出围绕算力支持、模型攻关、数据流通、开源生态、场景应用、国际合作、金融支持等方面提出15条具体举措：</w:t>
      </w:r>
    </w:p>
    <w:p w14:paraId="00E4A978">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default" w:ascii="仿宋_GB2312" w:hAnsi="仿宋_GB2312" w:eastAsia="仿宋_GB2312" w:cs="仿宋_GB2312"/>
          <w:b/>
          <w:bCs/>
          <w:sz w:val="32"/>
          <w:szCs w:val="32"/>
          <w:lang w:val="en-US" w:eastAsia="zh-CN"/>
        </w:rPr>
      </w:pPr>
      <w:r>
        <w:rPr>
          <w:rFonts w:hint="default" w:ascii="仿宋_GB2312" w:hAnsi="仿宋_GB2312" w:eastAsia="仿宋_GB2312" w:cs="仿宋_GB2312"/>
          <w:b/>
          <w:bCs/>
          <w:sz w:val="32"/>
          <w:szCs w:val="32"/>
          <w:lang w:val="en-US" w:eastAsia="zh-CN"/>
        </w:rPr>
        <w:t>一是</w:t>
      </w:r>
      <w:r>
        <w:rPr>
          <w:rFonts w:hint="eastAsia" w:ascii="仿宋_GB2312" w:hAnsi="仿宋_GB2312" w:eastAsia="仿宋_GB2312" w:cs="仿宋_GB2312"/>
          <w:b/>
          <w:bCs/>
          <w:sz w:val="32"/>
          <w:szCs w:val="32"/>
          <w:lang w:val="en-US" w:eastAsia="zh-CN"/>
        </w:rPr>
        <w:t>算力支持。</w:t>
      </w:r>
      <w:r>
        <w:rPr>
          <w:rFonts w:hint="eastAsia" w:ascii="仿宋_GB2312" w:hAnsi="仿宋_GB2312" w:eastAsia="仿宋_GB2312" w:cs="仿宋_GB2312"/>
          <w:b w:val="0"/>
          <w:bCs w:val="0"/>
          <w:color w:val="auto"/>
          <w:spacing w:val="6"/>
          <w:kern w:val="2"/>
          <w:sz w:val="32"/>
          <w:szCs w:val="32"/>
          <w:highlight w:val="none"/>
          <w:lang w:val="en-US" w:eastAsia="zh-CN" w:bidi="ar-SA"/>
        </w:rPr>
        <w:t>支持智能算力普惠共享，通过算力券支持用户企业开展研发活动。鼓励广泛使用Token服务，支持企业购买Token服务开展研发。</w:t>
      </w:r>
    </w:p>
    <w:p w14:paraId="28B26D1F">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二是模型攻关。</w:t>
      </w:r>
      <w:r>
        <w:rPr>
          <w:rFonts w:hint="eastAsia" w:ascii="仿宋_GB2312" w:hAnsi="仿宋_GB2312" w:eastAsia="仿宋_GB2312" w:cs="仿宋_GB2312"/>
          <w:b w:val="0"/>
          <w:bCs w:val="0"/>
          <w:color w:val="auto"/>
          <w:spacing w:val="6"/>
          <w:kern w:val="2"/>
          <w:sz w:val="32"/>
          <w:szCs w:val="32"/>
          <w:highlight w:val="none"/>
          <w:lang w:val="en-US" w:eastAsia="zh-CN" w:bidi="ar-SA"/>
        </w:rPr>
        <w:t>支持模型研发和合规运行，推动大模型的行业应用，加快研究更加高效的模型训练和推理方法。支持企业自研大模型按照国家关于生成式人工智能服务管理的有关要求合规运行。</w:t>
      </w:r>
    </w:p>
    <w:p w14:paraId="6BA0BD4E">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三是数据流通。</w:t>
      </w:r>
      <w:r>
        <w:rPr>
          <w:rFonts w:hint="eastAsia" w:ascii="仿宋_GB2312" w:hAnsi="仿宋_GB2312" w:eastAsia="仿宋_GB2312" w:cs="Times New Roman"/>
          <w:color w:val="auto"/>
          <w:spacing w:val="6"/>
          <w:sz w:val="32"/>
          <w:szCs w:val="32"/>
          <w:highlight w:val="none"/>
        </w:rPr>
        <w:t>支持企业和机构</w:t>
      </w:r>
      <w:r>
        <w:rPr>
          <w:rFonts w:hint="eastAsia" w:ascii="仿宋_GB2312" w:hAnsi="仿宋_GB2312" w:eastAsia="仿宋_GB2312" w:cs="Times New Roman"/>
          <w:color w:val="auto"/>
          <w:spacing w:val="6"/>
          <w:sz w:val="32"/>
          <w:szCs w:val="32"/>
          <w:highlight w:val="none"/>
          <w:lang w:val="en-US" w:eastAsia="zh-CN"/>
        </w:rPr>
        <w:t>面</w:t>
      </w:r>
      <w:r>
        <w:rPr>
          <w:rFonts w:hint="eastAsia" w:ascii="仿宋_GB2312" w:hAnsi="仿宋_GB2312" w:eastAsia="仿宋_GB2312" w:cs="Times New Roman"/>
          <w:color w:val="auto"/>
          <w:spacing w:val="6"/>
          <w:sz w:val="32"/>
          <w:szCs w:val="32"/>
          <w:highlight w:val="none"/>
        </w:rPr>
        <w:t>向社会</w:t>
      </w:r>
      <w:r>
        <w:rPr>
          <w:rFonts w:hint="eastAsia" w:ascii="仿宋_GB2312" w:hAnsi="仿宋_GB2312" w:eastAsia="仿宋_GB2312" w:cs="Times New Roman"/>
          <w:color w:val="auto"/>
          <w:spacing w:val="6"/>
          <w:sz w:val="32"/>
          <w:szCs w:val="32"/>
          <w:highlight w:val="none"/>
          <w:lang w:val="en-US" w:eastAsia="zh-CN"/>
        </w:rPr>
        <w:t>开放</w:t>
      </w:r>
      <w:r>
        <w:rPr>
          <w:rFonts w:hint="eastAsia" w:ascii="仿宋_GB2312" w:hAnsi="仿宋_GB2312" w:eastAsia="仿宋_GB2312" w:cs="Times New Roman"/>
          <w:color w:val="auto"/>
          <w:spacing w:val="6"/>
          <w:sz w:val="32"/>
          <w:szCs w:val="32"/>
          <w:highlight w:val="none"/>
        </w:rPr>
        <w:t>训练、验证、测试、语料等数据集，实施“语料券”</w:t>
      </w:r>
      <w:r>
        <w:rPr>
          <w:rFonts w:hint="eastAsia" w:ascii="仿宋_GB2312" w:hAnsi="仿宋_GB2312" w:eastAsia="仿宋_GB2312" w:cs="Times New Roman"/>
          <w:color w:val="auto"/>
          <w:spacing w:val="6"/>
          <w:sz w:val="32"/>
          <w:szCs w:val="32"/>
          <w:highlight w:val="none"/>
          <w:lang w:eastAsia="zh-CN"/>
        </w:rPr>
        <w:t>“</w:t>
      </w:r>
      <w:r>
        <w:rPr>
          <w:rFonts w:hint="eastAsia" w:ascii="仿宋_GB2312" w:hAnsi="仿宋_GB2312" w:eastAsia="仿宋_GB2312" w:cs="Times New Roman"/>
          <w:color w:val="auto"/>
          <w:spacing w:val="6"/>
          <w:sz w:val="32"/>
          <w:szCs w:val="32"/>
          <w:highlight w:val="none"/>
          <w:lang w:val="en-US" w:eastAsia="zh-CN"/>
        </w:rPr>
        <w:t>标注券</w:t>
      </w:r>
      <w:r>
        <w:rPr>
          <w:rFonts w:hint="eastAsia" w:ascii="仿宋_GB2312" w:hAnsi="仿宋_GB2312" w:eastAsia="仿宋_GB2312" w:cs="Times New Roman"/>
          <w:color w:val="auto"/>
          <w:spacing w:val="6"/>
          <w:sz w:val="32"/>
          <w:szCs w:val="32"/>
          <w:highlight w:val="none"/>
          <w:lang w:eastAsia="zh-CN"/>
        </w:rPr>
        <w:t>”</w:t>
      </w:r>
      <w:r>
        <w:rPr>
          <w:rFonts w:hint="eastAsia" w:ascii="仿宋_GB2312" w:hAnsi="仿宋_GB2312" w:eastAsia="仿宋_GB2312" w:cs="Times New Roman"/>
          <w:color w:val="auto"/>
          <w:spacing w:val="6"/>
          <w:sz w:val="32"/>
          <w:szCs w:val="32"/>
          <w:highlight w:val="none"/>
        </w:rPr>
        <w:t>政策</w:t>
      </w:r>
      <w:r>
        <w:rPr>
          <w:rFonts w:hint="eastAsia" w:ascii="仿宋_GB2312" w:hAnsi="仿宋_GB2312" w:eastAsia="仿宋_GB2312" w:cs="Times New Roman"/>
          <w:color w:val="auto"/>
          <w:spacing w:val="6"/>
          <w:sz w:val="32"/>
          <w:szCs w:val="32"/>
          <w:highlight w:val="none"/>
          <w:lang w:eastAsia="zh-CN"/>
        </w:rPr>
        <w:t>。</w:t>
      </w:r>
    </w:p>
    <w:p w14:paraId="052A332B">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四是开源生态。</w:t>
      </w:r>
      <w:r>
        <w:rPr>
          <w:rFonts w:hint="eastAsia" w:ascii="仿宋_GB2312" w:hAnsi="仿宋_GB2312" w:eastAsia="仿宋_GB2312" w:cs="Times New Roman"/>
          <w:color w:val="auto"/>
          <w:spacing w:val="6"/>
          <w:sz w:val="32"/>
          <w:szCs w:val="32"/>
          <w:highlight w:val="none"/>
          <w:lang w:val="en-US" w:eastAsia="zh-CN"/>
        </w:rPr>
        <w:t>支持开源项目培育，推动优质</w:t>
      </w:r>
      <w:r>
        <w:rPr>
          <w:rFonts w:hint="default" w:ascii="仿宋_GB2312" w:hAnsi="仿宋_GB2312" w:eastAsia="仿宋_GB2312" w:cs="Times New Roman"/>
          <w:color w:val="auto"/>
          <w:spacing w:val="6"/>
          <w:sz w:val="32"/>
          <w:szCs w:val="32"/>
          <w:highlight w:val="none"/>
          <w:lang w:eastAsia="zh-CN"/>
        </w:rPr>
        <w:t>人工智能</w:t>
      </w:r>
      <w:r>
        <w:rPr>
          <w:rFonts w:hint="eastAsia" w:ascii="仿宋_GB2312" w:hAnsi="仿宋_GB2312" w:eastAsia="仿宋_GB2312" w:cs="Times New Roman"/>
          <w:color w:val="auto"/>
          <w:spacing w:val="6"/>
          <w:sz w:val="32"/>
          <w:szCs w:val="32"/>
          <w:highlight w:val="none"/>
          <w:lang w:val="en-US" w:eastAsia="zh-CN"/>
        </w:rPr>
        <w:t>开源项目纳入杭州创新产品推广应用目录。支持开源社区和开源服务平台向开源开发者提供免费工具、算力、资源和服务。</w:t>
      </w:r>
    </w:p>
    <w:p w14:paraId="71C2A831">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五是场景应用。</w:t>
      </w:r>
      <w:r>
        <w:rPr>
          <w:rFonts w:hint="eastAsia" w:ascii="仿宋_GB2312" w:hAnsi="仿宋_GB2312" w:eastAsia="仿宋_GB2312" w:cs="仿宋_GB2312"/>
          <w:b w:val="0"/>
          <w:bCs w:val="0"/>
          <w:color w:val="auto"/>
          <w:spacing w:val="6"/>
          <w:kern w:val="2"/>
          <w:sz w:val="32"/>
          <w:szCs w:val="32"/>
          <w:highlight w:val="none"/>
          <w:lang w:val="en-US" w:eastAsia="zh-CN" w:bidi="ar-SA"/>
        </w:rPr>
        <w:t>支持国家人工智能行业应用中试基地建设，支持各类智能产品推广应用，支持制造业、服务业等各行业企业主动开放场景需求，与人工智能企业、科研机构开展“人工智能+”场景合作创新。促进人工智能技术在制造业细分领域的创新应用。</w:t>
      </w:r>
    </w:p>
    <w:p w14:paraId="5A2F42C9">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六是国际合作。</w:t>
      </w:r>
      <w:r>
        <w:rPr>
          <w:rFonts w:hint="eastAsia" w:ascii="仿宋_GB2312" w:hAnsi="仿宋_GB2312" w:eastAsia="仿宋_GB2312" w:cs="仿宋_GB2312"/>
          <w:b w:val="0"/>
          <w:bCs w:val="0"/>
          <w:color w:val="auto"/>
          <w:spacing w:val="6"/>
          <w:kern w:val="2"/>
          <w:sz w:val="32"/>
          <w:szCs w:val="32"/>
          <w:highlight w:val="none"/>
          <w:lang w:val="en-US" w:eastAsia="zh-CN" w:bidi="ar-SA"/>
        </w:rPr>
        <w:t>提升人工智能企业国际竞争力，支持企业推出在</w:t>
      </w:r>
      <w:r>
        <w:rPr>
          <w:rFonts w:hint="eastAsia" w:ascii="仿宋_GB2312" w:hAnsi="仿宋_GB2312" w:eastAsia="仿宋_GB2312" w:cs="Times New Roman"/>
          <w:b w:val="0"/>
          <w:bCs w:val="0"/>
          <w:color w:val="auto"/>
          <w:spacing w:val="6"/>
          <w:sz w:val="32"/>
          <w:szCs w:val="32"/>
          <w:highlight w:val="none"/>
          <w:lang w:eastAsia="zh-CN"/>
        </w:rPr>
        <w:t>海外市场实现落地应用、或赋能企业出海的人工智能产品和解决方案。</w:t>
      </w:r>
    </w:p>
    <w:p w14:paraId="403E7397">
      <w:pPr>
        <w:keepNext w:val="0"/>
        <w:keepLines w:val="0"/>
        <w:pageBreakBefore w:val="0"/>
        <w:widowControl w:val="0"/>
        <w:kinsoku/>
        <w:wordWrap/>
        <w:overflowPunct/>
        <w:topLinePunct w:val="0"/>
        <w:autoSpaceDE/>
        <w:autoSpaceDN/>
        <w:bidi w:val="0"/>
        <w:adjustRightInd/>
        <w:snapToGrid/>
        <w:ind w:firstLine="643" w:firstLineChars="200"/>
        <w:textAlignment w:val="auto"/>
        <w:rPr>
          <w:rFonts w:hint="eastAsia" w:ascii="仿宋_GB2312" w:hAnsi="仿宋_GB2312" w:eastAsia="仿宋_GB2312" w:cs="仿宋_GB2312"/>
          <w:b/>
          <w:bCs/>
          <w:sz w:val="32"/>
          <w:szCs w:val="32"/>
          <w:lang w:val="en-US" w:eastAsia="zh-CN"/>
        </w:rPr>
      </w:pPr>
      <w:r>
        <w:rPr>
          <w:rFonts w:hint="eastAsia" w:ascii="仿宋_GB2312" w:hAnsi="仿宋_GB2312" w:eastAsia="仿宋_GB2312" w:cs="仿宋_GB2312"/>
          <w:b/>
          <w:bCs/>
          <w:sz w:val="32"/>
          <w:szCs w:val="32"/>
          <w:lang w:val="en-US" w:eastAsia="zh-CN"/>
        </w:rPr>
        <w:t>七是金融支持。</w:t>
      </w:r>
      <w:r>
        <w:rPr>
          <w:rFonts w:hint="eastAsia" w:ascii="仿宋_GB2312" w:hAnsi="仿宋_GB2312" w:eastAsia="仿宋_GB2312" w:cs="Times New Roman"/>
          <w:color w:val="auto"/>
          <w:spacing w:val="6"/>
          <w:sz w:val="32"/>
          <w:szCs w:val="32"/>
          <w:highlight w:val="none"/>
        </w:rPr>
        <w:t>引导产业基金撬动社会资本、金融资本，加大投向人工智能关联方向的产业基金组建规模</w:t>
      </w:r>
      <w:r>
        <w:rPr>
          <w:rFonts w:hint="eastAsia" w:ascii="仿宋_GB2312" w:hAnsi="仿宋_GB2312" w:eastAsia="仿宋_GB2312" w:cs="Times New Roman"/>
          <w:color w:val="auto"/>
          <w:spacing w:val="6"/>
          <w:sz w:val="32"/>
          <w:szCs w:val="32"/>
          <w:highlight w:val="none"/>
          <w:lang w:eastAsia="zh-CN"/>
        </w:rPr>
        <w:t>。</w:t>
      </w:r>
      <w:r>
        <w:rPr>
          <w:rFonts w:hint="eastAsia" w:ascii="仿宋_GB2312" w:hAnsi="仿宋_GB2312" w:eastAsia="仿宋_GB2312" w:cs="Times New Roman"/>
          <w:color w:val="auto"/>
          <w:spacing w:val="6"/>
          <w:sz w:val="32"/>
          <w:szCs w:val="32"/>
          <w:highlight w:val="none"/>
          <w:lang w:val="en-US" w:eastAsia="zh-CN"/>
        </w:rPr>
        <w:t>鼓励</w:t>
      </w:r>
      <w:r>
        <w:rPr>
          <w:rFonts w:hint="eastAsia" w:ascii="仿宋_GB2312" w:hAnsi="仿宋_GB2312" w:eastAsia="仿宋_GB2312" w:cs="Times New Roman"/>
          <w:color w:val="auto"/>
          <w:spacing w:val="6"/>
          <w:sz w:val="32"/>
          <w:szCs w:val="32"/>
          <w:highlight w:val="none"/>
          <w:lang w:eastAsia="zh-CN"/>
        </w:rPr>
        <w:t>人工智能科技企业购买研发类科技保险。</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82ED7"/>
    <w:rsid w:val="035B575C"/>
    <w:rsid w:val="043D09D3"/>
    <w:rsid w:val="048526AB"/>
    <w:rsid w:val="04B52C5F"/>
    <w:rsid w:val="04E513F8"/>
    <w:rsid w:val="05322502"/>
    <w:rsid w:val="0764573B"/>
    <w:rsid w:val="081128A2"/>
    <w:rsid w:val="092B20EA"/>
    <w:rsid w:val="093F51ED"/>
    <w:rsid w:val="0C040028"/>
    <w:rsid w:val="0C083FBC"/>
    <w:rsid w:val="0C0C1FF2"/>
    <w:rsid w:val="0CDB279A"/>
    <w:rsid w:val="0D9A236D"/>
    <w:rsid w:val="0D9F26FE"/>
    <w:rsid w:val="0DF26CD2"/>
    <w:rsid w:val="0E417FC6"/>
    <w:rsid w:val="0EAB23AF"/>
    <w:rsid w:val="0EAF24CD"/>
    <w:rsid w:val="0ED25206"/>
    <w:rsid w:val="0EE228A3"/>
    <w:rsid w:val="0F616B2C"/>
    <w:rsid w:val="0FC376EC"/>
    <w:rsid w:val="0FC6075F"/>
    <w:rsid w:val="105C52CB"/>
    <w:rsid w:val="108A31F2"/>
    <w:rsid w:val="10FB7B13"/>
    <w:rsid w:val="117D68B3"/>
    <w:rsid w:val="11D26AC6"/>
    <w:rsid w:val="11E9219A"/>
    <w:rsid w:val="13415C47"/>
    <w:rsid w:val="135B70C7"/>
    <w:rsid w:val="13830281"/>
    <w:rsid w:val="1383756A"/>
    <w:rsid w:val="14302302"/>
    <w:rsid w:val="149F4E42"/>
    <w:rsid w:val="16AB475D"/>
    <w:rsid w:val="16FB6BF7"/>
    <w:rsid w:val="17127A9D"/>
    <w:rsid w:val="173455C4"/>
    <w:rsid w:val="178070FD"/>
    <w:rsid w:val="193222DF"/>
    <w:rsid w:val="196C1A2A"/>
    <w:rsid w:val="198D5981"/>
    <w:rsid w:val="19940C3D"/>
    <w:rsid w:val="19E337B9"/>
    <w:rsid w:val="1AB3280F"/>
    <w:rsid w:val="1AED1ED8"/>
    <w:rsid w:val="1B1E1106"/>
    <w:rsid w:val="1BAA7908"/>
    <w:rsid w:val="1CCC6940"/>
    <w:rsid w:val="1D1D0F04"/>
    <w:rsid w:val="1DAE60AA"/>
    <w:rsid w:val="1E3F4034"/>
    <w:rsid w:val="1F784B5D"/>
    <w:rsid w:val="206A0E38"/>
    <w:rsid w:val="20A81689"/>
    <w:rsid w:val="20E07ADB"/>
    <w:rsid w:val="20F841A8"/>
    <w:rsid w:val="212F35D3"/>
    <w:rsid w:val="2186530F"/>
    <w:rsid w:val="2188160C"/>
    <w:rsid w:val="21CA5B44"/>
    <w:rsid w:val="21E50696"/>
    <w:rsid w:val="222F59A7"/>
    <w:rsid w:val="223903ED"/>
    <w:rsid w:val="226A5F4F"/>
    <w:rsid w:val="22A61752"/>
    <w:rsid w:val="22CA56D0"/>
    <w:rsid w:val="24D73A9B"/>
    <w:rsid w:val="25667D90"/>
    <w:rsid w:val="25D23B0E"/>
    <w:rsid w:val="263B7010"/>
    <w:rsid w:val="265A4FBD"/>
    <w:rsid w:val="26662365"/>
    <w:rsid w:val="26E72CF4"/>
    <w:rsid w:val="27FD1F46"/>
    <w:rsid w:val="287E7EE5"/>
    <w:rsid w:val="28B4457F"/>
    <w:rsid w:val="292A511A"/>
    <w:rsid w:val="29C82C42"/>
    <w:rsid w:val="2AC05FDB"/>
    <w:rsid w:val="2B560448"/>
    <w:rsid w:val="2C570513"/>
    <w:rsid w:val="2CCC7153"/>
    <w:rsid w:val="2D9B66E2"/>
    <w:rsid w:val="2DD206A6"/>
    <w:rsid w:val="2E0B376C"/>
    <w:rsid w:val="2E19750B"/>
    <w:rsid w:val="2E3E4DF8"/>
    <w:rsid w:val="2F8825B1"/>
    <w:rsid w:val="2FD87DB2"/>
    <w:rsid w:val="2FFF61FA"/>
    <w:rsid w:val="3077267E"/>
    <w:rsid w:val="30C066F6"/>
    <w:rsid w:val="32024E86"/>
    <w:rsid w:val="32F32A21"/>
    <w:rsid w:val="33835B1F"/>
    <w:rsid w:val="34A10562"/>
    <w:rsid w:val="34BF2BBB"/>
    <w:rsid w:val="34F564DD"/>
    <w:rsid w:val="35724EDC"/>
    <w:rsid w:val="357B1487"/>
    <w:rsid w:val="36287986"/>
    <w:rsid w:val="36617A7C"/>
    <w:rsid w:val="36CF36EE"/>
    <w:rsid w:val="36E32CA9"/>
    <w:rsid w:val="38523D46"/>
    <w:rsid w:val="396A50BF"/>
    <w:rsid w:val="3A1D24C8"/>
    <w:rsid w:val="3A7B1D42"/>
    <w:rsid w:val="3A7B6865"/>
    <w:rsid w:val="3AA06300"/>
    <w:rsid w:val="3AC0768C"/>
    <w:rsid w:val="3BE018E5"/>
    <w:rsid w:val="3CB55DDB"/>
    <w:rsid w:val="3CE04E26"/>
    <w:rsid w:val="3D834FE7"/>
    <w:rsid w:val="3DEE0370"/>
    <w:rsid w:val="3E970CBE"/>
    <w:rsid w:val="3F5D7BA0"/>
    <w:rsid w:val="3FAB57B5"/>
    <w:rsid w:val="40980533"/>
    <w:rsid w:val="42021DAB"/>
    <w:rsid w:val="438206B0"/>
    <w:rsid w:val="439E1115"/>
    <w:rsid w:val="442D55F5"/>
    <w:rsid w:val="44415D94"/>
    <w:rsid w:val="45A60E00"/>
    <w:rsid w:val="462C207A"/>
    <w:rsid w:val="467F0B96"/>
    <w:rsid w:val="4686245E"/>
    <w:rsid w:val="470B249F"/>
    <w:rsid w:val="471825FE"/>
    <w:rsid w:val="47215C03"/>
    <w:rsid w:val="48455675"/>
    <w:rsid w:val="4C0F2D79"/>
    <w:rsid w:val="4CFE04BA"/>
    <w:rsid w:val="4E2E3FCE"/>
    <w:rsid w:val="4F2307E8"/>
    <w:rsid w:val="5007796B"/>
    <w:rsid w:val="511154A6"/>
    <w:rsid w:val="535A4B86"/>
    <w:rsid w:val="54387E3C"/>
    <w:rsid w:val="546700C1"/>
    <w:rsid w:val="55191A1B"/>
    <w:rsid w:val="55844E96"/>
    <w:rsid w:val="559A7000"/>
    <w:rsid w:val="568578F8"/>
    <w:rsid w:val="5748081E"/>
    <w:rsid w:val="5777558A"/>
    <w:rsid w:val="58086B9B"/>
    <w:rsid w:val="5864776B"/>
    <w:rsid w:val="599A3D2F"/>
    <w:rsid w:val="59E53FCF"/>
    <w:rsid w:val="5B60755C"/>
    <w:rsid w:val="5B9242D5"/>
    <w:rsid w:val="5BEC0CF4"/>
    <w:rsid w:val="5C2869E8"/>
    <w:rsid w:val="5C7A5119"/>
    <w:rsid w:val="5D213B63"/>
    <w:rsid w:val="5D375063"/>
    <w:rsid w:val="5DB378D1"/>
    <w:rsid w:val="5DC664B8"/>
    <w:rsid w:val="5ED846F5"/>
    <w:rsid w:val="60985838"/>
    <w:rsid w:val="6136649C"/>
    <w:rsid w:val="6191562C"/>
    <w:rsid w:val="61C96577"/>
    <w:rsid w:val="62127F1E"/>
    <w:rsid w:val="62245946"/>
    <w:rsid w:val="628F5A13"/>
    <w:rsid w:val="630B32EB"/>
    <w:rsid w:val="63395109"/>
    <w:rsid w:val="63A21533"/>
    <w:rsid w:val="6444502F"/>
    <w:rsid w:val="64FC6431"/>
    <w:rsid w:val="64FD6C64"/>
    <w:rsid w:val="65241F3A"/>
    <w:rsid w:val="65702D9F"/>
    <w:rsid w:val="657038D9"/>
    <w:rsid w:val="66482160"/>
    <w:rsid w:val="67A755AC"/>
    <w:rsid w:val="68E346FA"/>
    <w:rsid w:val="69C906DF"/>
    <w:rsid w:val="69D77881"/>
    <w:rsid w:val="6B5A3BF5"/>
    <w:rsid w:val="6CE40709"/>
    <w:rsid w:val="6D364A59"/>
    <w:rsid w:val="6DD13CE2"/>
    <w:rsid w:val="6F7F459B"/>
    <w:rsid w:val="6F884C51"/>
    <w:rsid w:val="704B5EE4"/>
    <w:rsid w:val="70840239"/>
    <w:rsid w:val="70E7266E"/>
    <w:rsid w:val="73CE3C57"/>
    <w:rsid w:val="74AA2238"/>
    <w:rsid w:val="763A5A2E"/>
    <w:rsid w:val="763C3364"/>
    <w:rsid w:val="776436AA"/>
    <w:rsid w:val="777515DD"/>
    <w:rsid w:val="7798281C"/>
    <w:rsid w:val="77BD7524"/>
    <w:rsid w:val="786C195E"/>
    <w:rsid w:val="79393B8B"/>
    <w:rsid w:val="7AB34C27"/>
    <w:rsid w:val="7B670E83"/>
    <w:rsid w:val="7B95779E"/>
    <w:rsid w:val="7C322D43"/>
    <w:rsid w:val="7D9330EC"/>
    <w:rsid w:val="7E6F0726"/>
    <w:rsid w:val="7FCE327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Normal (Web)"/>
    <w:basedOn w:val="1"/>
    <w:uiPriority w:val="0"/>
    <w:rPr>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d5767bf5-c038-461b-a070-3e7c8b392940</errorID>
      <errorWord>对对</errorWord>
      <group>L1_Word</group>
      <groupName>字词问题</groupName>
      <ability>L2_Typo</ability>
      <abilityName>字词错误</abilityName>
      <candidateList>
        <item>对</item>
      </candidateList>
      <explain/>
      <paraID> E548E52</paraID>
      <start>76</start>
      <end>77</end>
      <status>modified</status>
      <modifiedWord>对</modifiedWord>
      <trackRevisions>false</trackRevisions>
    </reviewItem>
  </reviewItems>
  <config/>
</contractReview>
</file>

<file path=customXml/itemProps1.xml><?xml version="1.0" encoding="utf-8"?>
<ds:datastoreItem xmlns:ds="http://schemas.openxmlformats.org/officeDocument/2006/customXml" ds:itemID="{3ac5037d-53cc-41df-85e7-57fe0bca82be}">
  <ds:schemaRefs/>
</ds:datastoreItem>
</file>

<file path=docProps/app.xml><?xml version="1.0" encoding="utf-8"?>
<Properties xmlns="http://schemas.openxmlformats.org/officeDocument/2006/extended-properties" xmlns:vt="http://schemas.openxmlformats.org/officeDocument/2006/docPropsVTypes">
  <Template>Normal.dotm</Template>
  <Pages>3</Pages>
  <Words>1052</Words>
  <Characters>1074</Characters>
  <Lines>0</Lines>
  <Paragraphs>0</Paragraphs>
  <TotalTime>0</TotalTime>
  <ScaleCrop>false</ScaleCrop>
  <LinksUpToDate>false</LinksUpToDate>
  <CharactersWithSpaces>1075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2026-08-20T02:56:00Z</dcterms:created>
  <dc:creator>Lijh</dc:creator>
  <cp:lastModifiedBy>庆庆</cp:lastModifiedBy>
  <dcterms:modified xsi:type="dcterms:W3CDTF">2026-10-28T06:58:33Z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eyJoZGlkIjoiZTk5Mzk0YWU4ZTY3MWFjODg0M2NkNWU2YzdhNTg3ZTMiLCJ1c2VySWQiOiIxODcxMTM2NDYyIn0=</vt:lpwstr>
  </property>
  <property fmtid="{D5CDD505-2E9C-101B-9397-08002B2CF9AE}" pid="4" name="ICV">
    <vt:lpwstr>E46E0EB44A0D45BFB3047265889A3859_12</vt:lpwstr>
  </property>
</Properties>
</file>