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00965">
      <w:pPr>
        <w:snapToGrid w:val="0"/>
        <w:spacing w:line="600" w:lineRule="exact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附件</w:t>
      </w:r>
    </w:p>
    <w:p w14:paraId="6295839E">
      <w:pPr>
        <w:snapToGrid w:val="0"/>
        <w:spacing w:line="600" w:lineRule="exact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/>
          <w:color w:val="000000"/>
          <w:sz w:val="44"/>
          <w:szCs w:val="44"/>
        </w:rPr>
        <w:t xml:space="preserve"> </w:t>
      </w:r>
    </w:p>
    <w:p w14:paraId="722BCE06">
      <w:pPr>
        <w:snapToGrid w:val="0"/>
        <w:spacing w:line="700" w:lineRule="exact"/>
        <w:jc w:val="center"/>
        <w:rPr>
          <w:rFonts w:hint="eastAsia" w:ascii="Times New Roman" w:hAnsi="Times New Roman" w:eastAsia="方正小标宋简体" w:cs="Times New Roman"/>
          <w:color w:val="000000"/>
          <w:sz w:val="44"/>
          <w:szCs w:val="44"/>
          <w:highlight w:val="none"/>
          <w:lang w:eastAsia="zh-CN" w:bidi="ar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bidi="ar"/>
        </w:rPr>
        <w:t>关于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 w:bidi="ar"/>
        </w:rPr>
        <w:t>提升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eastAsia="zh-CN" w:bidi="ar"/>
        </w:rPr>
        <w:t>“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 w:bidi="ar"/>
        </w:rPr>
        <w:t>科技副总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eastAsia="zh-CN" w:bidi="ar"/>
        </w:rPr>
        <w:t>”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 w:bidi="ar"/>
        </w:rPr>
        <w:t>工作质效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bidi="ar"/>
        </w:rPr>
        <w:t>的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highlight w:val="none"/>
          <w:lang w:eastAsia="zh-CN" w:bidi="ar"/>
        </w:rPr>
        <w:t>若干举措</w:t>
      </w:r>
    </w:p>
    <w:p w14:paraId="24DECBA2">
      <w:pPr>
        <w:spacing w:line="600" w:lineRule="exact"/>
        <w:ind w:firstLine="0" w:firstLineChars="0"/>
        <w:jc w:val="center"/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eastAsia="zh-CN"/>
        </w:rPr>
        <w:t>（征求意见稿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）</w:t>
      </w:r>
    </w:p>
    <w:p w14:paraId="1A9FA969">
      <w:pPr>
        <w:spacing w:line="600" w:lineRule="exact"/>
        <w:ind w:firstLine="648" w:firstLineChars="200"/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</w:pPr>
    </w:p>
    <w:p w14:paraId="3A1AC502">
      <w:pPr>
        <w:spacing w:line="600" w:lineRule="exact"/>
        <w:ind w:firstLine="648" w:firstLineChars="200"/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为落实省委、省政府关于加快建设创新浙江的决策部署，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引导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 w:bidi="ar"/>
        </w:rPr>
        <w:t>高校院所科技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人才向产业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 w:bidi="ar"/>
        </w:rPr>
        <w:t>流动共享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 w:bidi="ar"/>
        </w:rPr>
        <w:t>，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  <w:t>现就提升“科技副总”工作质效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制定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如下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  <w:t>举措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。</w:t>
      </w:r>
    </w:p>
    <w:p w14:paraId="495BEF32">
      <w:pPr>
        <w:adjustRightInd w:val="0"/>
        <w:spacing w:line="600" w:lineRule="exact"/>
        <w:ind w:firstLine="660"/>
        <w:rPr>
          <w:rFonts w:hint="default" w:ascii="Times New Roman" w:hAnsi="Times New Roman" w:eastAsia="黑体" w:cs="Times New Roman"/>
          <w:bCs/>
          <w:color w:val="000000"/>
          <w:spacing w:val="2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Cs/>
          <w:color w:val="000000"/>
          <w:spacing w:val="2"/>
          <w:kern w:val="0"/>
          <w:sz w:val="32"/>
          <w:szCs w:val="32"/>
          <w:highlight w:val="none"/>
        </w:rPr>
        <w:t>一、完善</w:t>
      </w:r>
      <w:r>
        <w:rPr>
          <w:rFonts w:hint="default" w:ascii="Times New Roman" w:hAnsi="Times New Roman" w:eastAsia="黑体" w:cs="Times New Roman"/>
          <w:bCs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供需匹配</w:t>
      </w:r>
      <w:r>
        <w:rPr>
          <w:rFonts w:hint="eastAsia" w:ascii="Times New Roman" w:hAnsi="Times New Roman" w:eastAsia="黑体" w:cs="Times New Roman"/>
          <w:bCs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机制</w:t>
      </w:r>
    </w:p>
    <w:p w14:paraId="740EB223">
      <w:pPr>
        <w:spacing w:line="600" w:lineRule="exact"/>
        <w:ind w:firstLine="656" w:firstLineChars="0"/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spacing w:val="2"/>
          <w:kern w:val="0"/>
          <w:sz w:val="32"/>
          <w:szCs w:val="32"/>
          <w:highlight w:val="none"/>
        </w:rPr>
        <w:t>1.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深化供需对接。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2"/>
          <w:kern w:val="0"/>
          <w:sz w:val="32"/>
          <w:szCs w:val="32"/>
          <w:highlight w:val="none"/>
        </w:rPr>
        <w:t>依托“创新浙江”科管平台，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构建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科技人员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企业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多维画像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2"/>
          <w:kern w:val="0"/>
          <w:sz w:val="32"/>
          <w:szCs w:val="32"/>
          <w:highlight w:val="none"/>
        </w:rPr>
        <w:t>智能推荐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匹配“科技副总”人选，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将省外特别是长三角地区科技人才纳入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“科技副总”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选派范围。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2"/>
          <w:kern w:val="0"/>
          <w:sz w:val="32"/>
          <w:szCs w:val="32"/>
          <w:highlight w:val="none"/>
        </w:rPr>
        <w:t>从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技术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2"/>
          <w:kern w:val="0"/>
          <w:sz w:val="32"/>
          <w:szCs w:val="32"/>
          <w:highlight w:val="none"/>
        </w:rPr>
        <w:t>需求端和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成果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2"/>
          <w:kern w:val="0"/>
          <w:sz w:val="32"/>
          <w:szCs w:val="32"/>
          <w:highlight w:val="none"/>
        </w:rPr>
        <w:t>供给端构建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快速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2"/>
          <w:kern w:val="0"/>
          <w:sz w:val="32"/>
          <w:szCs w:val="32"/>
          <w:highlight w:val="none"/>
        </w:rPr>
        <w:t>响应链路，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联动概念验证中心、中试平台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  <w:t>、应用场景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等资源，线上线下协同导入人才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成果、金融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  <w:t>等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  <w:t>，推动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要素资源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  <w:t>与企业真实需求高效对接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。</w:t>
      </w:r>
    </w:p>
    <w:p w14:paraId="4C03144F">
      <w:pPr>
        <w:spacing w:line="600" w:lineRule="exact"/>
        <w:ind w:firstLine="656" w:firstLineChars="0"/>
        <w:rPr>
          <w:rFonts w:hint="eastAsia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2.促进成果转化。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将“科技副总”纳入技术经理人队伍，依托“浙里好成果直通车”和中国浙江网上技术市场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等载体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，常态化开展成果发布，全过程实施“先用后转”政策保障，推动签订技术合同，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促进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科技成果向企业转移转化。</w:t>
      </w:r>
    </w:p>
    <w:p w14:paraId="2F206A6C">
      <w:pPr>
        <w:adjustRightInd w:val="0"/>
        <w:spacing w:line="600" w:lineRule="exact"/>
        <w:ind w:firstLine="660"/>
        <w:rPr>
          <w:rFonts w:hint="eastAsia" w:ascii="Times New Roman" w:hAnsi="Times New Roman" w:eastAsia="黑体" w:cs="Times New Roman"/>
          <w:bCs/>
          <w:color w:val="000000"/>
          <w:spacing w:val="2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bCs/>
          <w:color w:val="000000"/>
          <w:spacing w:val="2"/>
          <w:kern w:val="0"/>
          <w:sz w:val="32"/>
          <w:szCs w:val="32"/>
          <w:highlight w:val="none"/>
        </w:rPr>
        <w:t>、健全履职服务</w:t>
      </w:r>
      <w:r>
        <w:rPr>
          <w:rFonts w:hint="eastAsia" w:ascii="Times New Roman" w:hAnsi="Times New Roman" w:eastAsia="黑体" w:cs="Times New Roman"/>
          <w:bCs/>
          <w:color w:val="000000"/>
          <w:spacing w:val="2"/>
          <w:kern w:val="0"/>
          <w:sz w:val="32"/>
          <w:szCs w:val="32"/>
          <w:highlight w:val="none"/>
          <w:lang w:eastAsia="zh-CN"/>
        </w:rPr>
        <w:t>制度</w:t>
      </w:r>
    </w:p>
    <w:p w14:paraId="2077FCA5">
      <w:pPr>
        <w:spacing w:line="600" w:lineRule="exact"/>
        <w:ind w:firstLine="648" w:firstLineChars="200"/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</w:rPr>
        <w:t>.挖掘企业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攻关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</w:rPr>
        <w:t>需求。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  <w:t>支持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“科技副总”深入企业车间和产业一线，从生产实践中发现、凝练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产业共性难题和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企业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个性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需求，指导企业填报省“尖兵”“领雁”项目攻关需求，作为项目榜单（指南）编制的重要来源。支持“科技副总”参与省重大科技专项企业出题对接，参与以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科技成果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产品化、工程化、产业化为目标任务的项目榜单编制，派驻企业申报项目可不回避。</w:t>
      </w:r>
    </w:p>
    <w:p w14:paraId="71E0D296">
      <w:pPr>
        <w:spacing w:line="600" w:lineRule="exact"/>
        <w:ind w:firstLine="648" w:firstLineChars="200"/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</w:rPr>
        <w:t>.开展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产学研联合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</w:rPr>
        <w:t>攻关。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支持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“科技副总”依托派驻企业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牵头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  <w:t>申报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科技特派团项目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  <w:t>，对服务期满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绩效评价优秀的“科技副总”优先支持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牵头承担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的经技术合同认定登记、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  <w:t>单个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横向经费实际到账金额达300万元以上的产学研项目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或企业自主实施、研发费用达2000万元以上的科技项目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符合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条件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可上升为省重大科技计划项目。</w:t>
      </w:r>
    </w:p>
    <w:p w14:paraId="4C0485B0">
      <w:pPr>
        <w:spacing w:line="600" w:lineRule="exact"/>
        <w:ind w:firstLine="648" w:firstLineChars="200"/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</w:rPr>
        <w:t>.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参与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</w:rPr>
        <w:t>共建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创新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</w:rPr>
        <w:t>平台。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鼓励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“科技副总”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协同派驻企业与高校院所实施伙伴计划、共建联合实验室（联合研发中心）等平台，企业实际投入1000万元以上的，对其提出并为主承担的符合战略导向、预期可取得重大成果的攻关任务，可定向委托该派驻企业牵头实施。</w:t>
      </w:r>
      <w:r>
        <w:rPr>
          <w:rFonts w:hint="default" w:ascii="Times New Roman" w:hAnsi="Times New Roman" w:eastAsia="仿宋_GB2312"/>
          <w:color w:val="000000"/>
          <w:spacing w:val="2"/>
          <w:kern w:val="0"/>
          <w:sz w:val="32"/>
          <w:szCs w:val="32"/>
          <w:highlight w:val="none"/>
          <w:lang w:eastAsia="zh-CN"/>
        </w:rPr>
        <w:t>推动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概念验证中心、中试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平台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、大型科学仪器设施等科技资源向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派驻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企业开放共享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  <w:t>。</w:t>
      </w:r>
    </w:p>
    <w:p w14:paraId="637F8CC6">
      <w:pPr>
        <w:spacing w:line="600" w:lineRule="exact"/>
        <w:ind w:firstLine="648" w:firstLineChars="200"/>
        <w:rPr>
          <w:rFonts w:hint="default" w:ascii="Calibri" w:hAnsi="Calibri" w:eastAsia="仿宋_GB2312" w:cs="Times New Roman"/>
          <w:color w:val="000000"/>
          <w:spacing w:val="0"/>
          <w:kern w:val="0"/>
          <w:sz w:val="32"/>
          <w:szCs w:val="32"/>
          <w:highlight w:val="none"/>
          <w:lang w:bidi="ar"/>
        </w:rPr>
      </w:pP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</w:rPr>
        <w:t>.加强人才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引育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</w:rPr>
        <w:t>。</w:t>
      </w:r>
      <w:r>
        <w:rPr>
          <w:rFonts w:hint="eastAsia" w:eastAsia="仿宋_GB2312" w:cs="Times New Roman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鼓励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“</w:t>
      </w:r>
      <w:r>
        <w:rPr>
          <w:rFonts w:hint="default" w:ascii="Calibri" w:hAnsi="Calibri" w:eastAsia="仿宋_GB2312" w:cs="Times New Roman"/>
          <w:color w:val="000000"/>
          <w:spacing w:val="0"/>
          <w:kern w:val="0"/>
          <w:sz w:val="32"/>
          <w:szCs w:val="32"/>
          <w:highlight w:val="none"/>
          <w:lang w:bidi="ar"/>
        </w:rPr>
        <w:t>科技副总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”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  <w:t>会</w:t>
      </w:r>
      <w:r>
        <w:rPr>
          <w:rFonts w:hint="default" w:ascii="Calibri" w:hAnsi="Calibri" w:eastAsia="仿宋_GB2312" w:cs="Times New Roman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同派驻企业与高校院所</w:t>
      </w:r>
      <w:r>
        <w:rPr>
          <w:rFonts w:hint="default" w:ascii="Calibri" w:hAnsi="Calibri" w:eastAsia="仿宋_GB2312" w:cs="Times New Roman"/>
          <w:color w:val="000000"/>
          <w:spacing w:val="0"/>
          <w:kern w:val="0"/>
          <w:sz w:val="32"/>
          <w:szCs w:val="32"/>
          <w:highlight w:val="none"/>
          <w:lang w:bidi="ar"/>
        </w:rPr>
        <w:t>共建人才培养基地和实践教学点，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  <w:t>申报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省科普教育基地、科学家精神教育基地、科技小院等载体，</w:t>
      </w:r>
      <w:r>
        <w:rPr>
          <w:rFonts w:hint="default" w:ascii="Calibri" w:hAnsi="Calibri" w:eastAsia="仿宋_GB2312" w:cs="Times New Roman"/>
          <w:color w:val="000000"/>
          <w:spacing w:val="0"/>
          <w:kern w:val="0"/>
          <w:sz w:val="32"/>
          <w:szCs w:val="32"/>
          <w:highlight w:val="none"/>
          <w:lang w:eastAsia="zh-CN" w:bidi="ar"/>
        </w:rPr>
        <w:t>联合</w:t>
      </w:r>
      <w:r>
        <w:rPr>
          <w:rFonts w:hint="default" w:ascii="Calibri" w:hAnsi="Calibri" w:eastAsia="仿宋_GB2312" w:cs="Times New Roman"/>
          <w:color w:val="000000"/>
          <w:spacing w:val="0"/>
          <w:kern w:val="0"/>
          <w:sz w:val="32"/>
          <w:szCs w:val="32"/>
          <w:highlight w:val="none"/>
          <w:lang w:bidi="ar"/>
        </w:rPr>
        <w:t>培养专业技术人才</w:t>
      </w:r>
      <w:r>
        <w:rPr>
          <w:rFonts w:hint="default" w:ascii="Calibri" w:hAnsi="Calibri" w:eastAsia="仿宋_GB2312" w:cs="Times New Roman"/>
          <w:color w:val="000000"/>
          <w:spacing w:val="0"/>
          <w:kern w:val="0"/>
          <w:sz w:val="32"/>
          <w:szCs w:val="32"/>
          <w:highlight w:val="none"/>
          <w:lang w:eastAsia="zh-CN" w:bidi="ar"/>
        </w:rPr>
        <w:t>、</w:t>
      </w:r>
      <w:r>
        <w:rPr>
          <w:rFonts w:hint="default" w:ascii="Calibri" w:hAnsi="Calibri" w:eastAsia="仿宋_GB2312" w:cs="Times New Roman"/>
          <w:color w:val="000000"/>
          <w:spacing w:val="0"/>
          <w:kern w:val="0"/>
          <w:sz w:val="32"/>
          <w:szCs w:val="32"/>
          <w:highlight w:val="none"/>
          <w:lang w:bidi="ar"/>
        </w:rPr>
        <w:t>引进高层次人才。</w:t>
      </w:r>
    </w:p>
    <w:p w14:paraId="3107B5F6">
      <w:pPr>
        <w:adjustRightInd w:val="0"/>
        <w:spacing w:line="600" w:lineRule="exact"/>
        <w:ind w:firstLine="660"/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黑体" w:cs="Times New Roman"/>
          <w:bCs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bCs/>
          <w:color w:val="000000"/>
          <w:spacing w:val="2"/>
          <w:kern w:val="0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黑体" w:cs="Times New Roman"/>
          <w:bCs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强化评价激励</w:t>
      </w:r>
    </w:p>
    <w:p w14:paraId="725E922F">
      <w:pPr>
        <w:spacing w:line="600" w:lineRule="exact"/>
        <w:ind w:firstLine="648" w:firstLineChars="200"/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7.完善绩效评价。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以规划咨询、技术攻关、成果转化、平台共建、人才培养等为主要评价指标，</w:t>
      </w:r>
      <w:r>
        <w:rPr>
          <w:rFonts w:eastAsia="仿宋_GB2312"/>
          <w:spacing w:val="0"/>
          <w:kern w:val="0"/>
          <w:sz w:val="32"/>
          <w:szCs w:val="32"/>
          <w:highlight w:val="none"/>
          <w:lang w:bidi="ar"/>
        </w:rPr>
        <w:t>构建</w:t>
      </w:r>
      <w:r>
        <w:rPr>
          <w:rFonts w:eastAsia="仿宋_GB2312"/>
          <w:color w:val="000000"/>
          <w:spacing w:val="0"/>
          <w:kern w:val="0"/>
          <w:sz w:val="32"/>
          <w:szCs w:val="32"/>
          <w:highlight w:val="none"/>
          <w:lang w:bidi="ar"/>
        </w:rPr>
        <w:t>能</w:t>
      </w:r>
      <w:r>
        <w:rPr>
          <w:rFonts w:hint="eastAsia" w:eastAsia="仿宋_GB2312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进</w:t>
      </w:r>
      <w:r>
        <w:rPr>
          <w:rFonts w:eastAsia="仿宋_GB2312"/>
          <w:color w:val="000000"/>
          <w:spacing w:val="0"/>
          <w:kern w:val="0"/>
          <w:sz w:val="32"/>
          <w:szCs w:val="32"/>
          <w:highlight w:val="none"/>
          <w:lang w:bidi="ar"/>
        </w:rPr>
        <w:t>能</w:t>
      </w:r>
      <w:r>
        <w:rPr>
          <w:rFonts w:hint="eastAsia" w:eastAsia="仿宋_GB2312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出</w:t>
      </w:r>
      <w:r>
        <w:rPr>
          <w:rFonts w:eastAsia="仿宋_GB2312"/>
          <w:color w:val="000000"/>
          <w:spacing w:val="0"/>
          <w:kern w:val="0"/>
          <w:sz w:val="32"/>
          <w:szCs w:val="32"/>
          <w:highlight w:val="none"/>
          <w:lang w:bidi="ar"/>
        </w:rPr>
        <w:t>、优胜劣汰的人员动态调整机制，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对不能正常履职的及时调整退出。会同派出单位对“科技副总”开展绩效评价，</w:t>
      </w:r>
      <w:r>
        <w:rPr>
          <w:rFonts w:hint="eastAsia" w:eastAsia="仿宋_GB2312"/>
          <w:color w:val="000000"/>
          <w:spacing w:val="0"/>
          <w:kern w:val="0"/>
          <w:sz w:val="32"/>
          <w:szCs w:val="32"/>
          <w:highlight w:val="none"/>
          <w:lang w:eastAsia="zh-CN" w:bidi="ar"/>
        </w:rPr>
        <w:t>评价</w:t>
      </w:r>
      <w:r>
        <w:rPr>
          <w:rFonts w:eastAsia="仿宋_GB2312"/>
          <w:color w:val="000000"/>
          <w:spacing w:val="0"/>
          <w:kern w:val="0"/>
          <w:sz w:val="32"/>
          <w:szCs w:val="32"/>
          <w:highlight w:val="none"/>
          <w:lang w:bidi="ar"/>
        </w:rPr>
        <w:t>结</w:t>
      </w:r>
      <w:r>
        <w:rPr>
          <w:rFonts w:hint="eastAsia" w:eastAsia="仿宋_GB2312"/>
          <w:color w:val="000000"/>
          <w:spacing w:val="0"/>
          <w:kern w:val="0"/>
          <w:sz w:val="32"/>
          <w:szCs w:val="32"/>
          <w:highlight w:val="none"/>
          <w:lang w:eastAsia="zh-CN" w:bidi="ar"/>
        </w:rPr>
        <w:t>果作为</w:t>
      </w:r>
      <w:r>
        <w:rPr>
          <w:rFonts w:hint="eastAsia" w:eastAsia="仿宋_GB2312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岗位竞聘</w:t>
      </w:r>
      <w:r>
        <w:rPr>
          <w:rFonts w:hint="eastAsia" w:eastAsia="仿宋_GB2312"/>
          <w:color w:val="000000"/>
          <w:spacing w:val="0"/>
          <w:kern w:val="0"/>
          <w:sz w:val="32"/>
          <w:szCs w:val="32"/>
          <w:highlight w:val="none"/>
          <w:lang w:bidi="ar"/>
        </w:rPr>
        <w:t>和</w:t>
      </w:r>
      <w:r>
        <w:rPr>
          <w:rFonts w:hint="eastAsia" w:eastAsia="仿宋_GB2312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工作</w:t>
      </w:r>
      <w:r>
        <w:rPr>
          <w:rFonts w:hint="eastAsia" w:eastAsia="仿宋_GB2312"/>
          <w:color w:val="000000"/>
          <w:spacing w:val="0"/>
          <w:kern w:val="0"/>
          <w:sz w:val="32"/>
          <w:szCs w:val="32"/>
          <w:highlight w:val="none"/>
          <w:lang w:bidi="ar"/>
        </w:rPr>
        <w:t>考核的重要依据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。聘期内的业绩可用于职称申报，纳入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  <w:t>相应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系列职称评价和继续教育学时认定体系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  <w:t>。</w:t>
      </w:r>
    </w:p>
    <w:p w14:paraId="6BBA634C">
      <w:pPr>
        <w:spacing w:line="600" w:lineRule="exact"/>
        <w:ind w:firstLine="648" w:firstLineChars="200"/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8.强化人才激励。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支持“</w:t>
      </w:r>
      <w:r>
        <w:rPr>
          <w:rFonts w:hint="default" w:ascii="Calibri" w:hAnsi="Calibri" w:eastAsia="仿宋_GB2312" w:cs="Times New Roman"/>
          <w:color w:val="000000"/>
          <w:spacing w:val="0"/>
          <w:kern w:val="0"/>
          <w:sz w:val="32"/>
          <w:szCs w:val="32"/>
          <w:highlight w:val="none"/>
          <w:lang w:bidi="ar"/>
        </w:rPr>
        <w:t>科技副总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”</w:t>
      </w:r>
      <w:r>
        <w:rPr>
          <w:rFonts w:hint="default" w:ascii="Calibri" w:hAnsi="Calibri" w:eastAsia="仿宋_GB2312" w:cs="Times New Roman"/>
          <w:color w:val="000000"/>
          <w:spacing w:val="0"/>
          <w:kern w:val="0"/>
          <w:sz w:val="32"/>
          <w:szCs w:val="32"/>
          <w:highlight w:val="none"/>
          <w:lang w:bidi="ar"/>
        </w:rPr>
        <w:t>依托派驻企业申报省级人才</w:t>
      </w:r>
      <w:r>
        <w:rPr>
          <w:rFonts w:hint="eastAsia" w:eastAsia="仿宋_GB2312" w:cs="Times New Roman"/>
          <w:color w:val="000000"/>
          <w:spacing w:val="0"/>
          <w:kern w:val="0"/>
          <w:sz w:val="32"/>
          <w:szCs w:val="32"/>
          <w:highlight w:val="none"/>
          <w:lang w:eastAsia="zh-CN" w:bidi="ar"/>
        </w:rPr>
        <w:t>计划</w:t>
      </w:r>
      <w:r>
        <w:rPr>
          <w:rFonts w:hint="eastAsia" w:eastAsia="仿宋_GB2312" w:cs="Times New Roman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和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省领军型创新创业团队</w:t>
      </w:r>
      <w:r>
        <w:rPr>
          <w:rFonts w:hint="default" w:eastAsia="仿宋_GB2312" w:cs="Times New Roman"/>
          <w:color w:val="000000"/>
          <w:spacing w:val="0"/>
          <w:kern w:val="0"/>
          <w:sz w:val="32"/>
          <w:szCs w:val="32"/>
          <w:highlight w:val="none"/>
          <w:lang w:bidi="ar"/>
        </w:rPr>
        <w:t>，对服务期满绩效</w:t>
      </w:r>
      <w:r>
        <w:rPr>
          <w:rFonts w:hint="eastAsia" w:eastAsia="仿宋_GB2312" w:cs="Times New Roman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评价</w:t>
      </w:r>
      <w:r>
        <w:rPr>
          <w:rFonts w:hint="default" w:eastAsia="仿宋_GB2312" w:cs="Times New Roman"/>
          <w:color w:val="000000"/>
          <w:spacing w:val="0"/>
          <w:kern w:val="0"/>
          <w:sz w:val="32"/>
          <w:szCs w:val="32"/>
          <w:highlight w:val="none"/>
          <w:lang w:bidi="ar"/>
        </w:rPr>
        <w:t>优秀的省派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“</w:t>
      </w:r>
      <w:r>
        <w:rPr>
          <w:rFonts w:hint="default" w:ascii="Calibri" w:hAnsi="Calibri" w:eastAsia="仿宋_GB2312" w:cs="Times New Roman"/>
          <w:color w:val="000000"/>
          <w:spacing w:val="0"/>
          <w:kern w:val="0"/>
          <w:sz w:val="32"/>
          <w:szCs w:val="32"/>
          <w:highlight w:val="none"/>
          <w:lang w:bidi="ar"/>
        </w:rPr>
        <w:t>科技副总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”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eastAsia="仿宋_GB2312" w:cs="Times New Roman"/>
          <w:color w:val="000000"/>
          <w:spacing w:val="0"/>
          <w:kern w:val="0"/>
          <w:sz w:val="32"/>
          <w:szCs w:val="32"/>
          <w:highlight w:val="none"/>
          <w:lang w:eastAsia="zh-CN" w:bidi="ar"/>
        </w:rPr>
        <w:t>按不高于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30%</w:t>
      </w:r>
      <w:r>
        <w:rPr>
          <w:rFonts w:hint="eastAsia" w:eastAsia="仿宋_GB2312" w:cs="Times New Roman"/>
          <w:color w:val="000000"/>
          <w:spacing w:val="0"/>
          <w:kern w:val="0"/>
          <w:sz w:val="32"/>
          <w:szCs w:val="32"/>
          <w:highlight w:val="none"/>
          <w:lang w:val="en-US" w:eastAsia="zh-CN" w:bidi="ar"/>
        </w:rPr>
        <w:t>的比例</w:t>
      </w:r>
      <w:r>
        <w:rPr>
          <w:rFonts w:hint="default" w:eastAsia="仿宋_GB2312" w:cs="Times New Roman"/>
          <w:color w:val="000000"/>
          <w:spacing w:val="0"/>
          <w:kern w:val="0"/>
          <w:sz w:val="32"/>
          <w:szCs w:val="32"/>
          <w:highlight w:val="none"/>
          <w:lang w:bidi="ar"/>
        </w:rPr>
        <w:t>认定为省级科技人才</w:t>
      </w:r>
      <w:r>
        <w:rPr>
          <w:rFonts w:hint="eastAsia" w:eastAsia="仿宋_GB2312" w:cs="Times New Roman"/>
          <w:color w:val="000000"/>
          <w:spacing w:val="0"/>
          <w:kern w:val="0"/>
          <w:sz w:val="32"/>
          <w:szCs w:val="32"/>
          <w:highlight w:val="none"/>
          <w:lang w:eastAsia="zh-CN" w:bidi="ar"/>
        </w:rPr>
        <w:t>。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推荐参与“省优秀科技特派员”评比表彰，</w: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000000"/>
          <w:spacing w:val="2"/>
          <w:kern w:val="0"/>
          <w:sz w:val="32"/>
          <w:szCs w:val="32"/>
          <w:highlight w:val="none"/>
        </w:rPr>
        <w:t>将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符合条件的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“科技副总”</w: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000000"/>
          <w:spacing w:val="2"/>
          <w:kern w:val="0"/>
          <w:sz w:val="32"/>
          <w:szCs w:val="32"/>
          <w:highlight w:val="none"/>
        </w:rPr>
        <w:t>纳入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000000"/>
          <w:spacing w:val="2"/>
          <w:kern w:val="0"/>
          <w:sz w:val="32"/>
          <w:szCs w:val="32"/>
          <w:highlight w:val="none"/>
          <w:lang w:eastAsia="zh-CN"/>
        </w:rPr>
        <w:t>省</w:t>
      </w:r>
      <w:r>
        <w:rPr>
          <w:rFonts w:ascii="Times New Roman" w:hAnsi="Times New Roman" w:eastAsia="仿宋_GB2312" w:cs="Times New Roman"/>
          <w:i w:val="0"/>
          <w:iCs w:val="0"/>
          <w:caps w:val="0"/>
          <w:color w:val="000000"/>
          <w:spacing w:val="2"/>
          <w:kern w:val="0"/>
          <w:sz w:val="32"/>
          <w:szCs w:val="32"/>
          <w:highlight w:val="none"/>
        </w:rPr>
        <w:t>科技专家库，支持参与科技咨询、项目论证等决策咨询活动。</w:t>
      </w:r>
    </w:p>
    <w:p w14:paraId="21E54AE8">
      <w:pPr>
        <w:spacing w:line="600" w:lineRule="exact"/>
        <w:ind w:firstLine="648" w:firstLineChars="200"/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9.加强宣传培训。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推荐“科技副总”参与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技术经理人常态化培训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  <w:t>，</w:t>
      </w:r>
      <w:r>
        <w:rPr>
          <w:rFonts w:eastAsia="仿宋_GB2312"/>
          <w:spacing w:val="0"/>
          <w:kern w:val="0"/>
          <w:sz w:val="32"/>
          <w:szCs w:val="32"/>
          <w:highlight w:val="none"/>
          <w:lang w:bidi="ar"/>
        </w:rPr>
        <w:t>总结宣传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“科技副总”</w:t>
      </w:r>
      <w:r>
        <w:rPr>
          <w:rFonts w:eastAsia="仿宋_GB2312"/>
          <w:spacing w:val="0"/>
          <w:kern w:val="0"/>
          <w:sz w:val="32"/>
          <w:szCs w:val="32"/>
          <w:highlight w:val="none"/>
          <w:lang w:bidi="ar"/>
        </w:rPr>
        <w:t>先进事迹、典型案例</w:t>
      </w:r>
      <w:r>
        <w:rPr>
          <w:rFonts w:hint="eastAsia" w:eastAsia="仿宋_GB2312"/>
          <w:spacing w:val="0"/>
          <w:kern w:val="0"/>
          <w:sz w:val="32"/>
          <w:szCs w:val="32"/>
          <w:highlight w:val="none"/>
          <w:lang w:eastAsia="zh-CN" w:bidi="ar"/>
        </w:rPr>
        <w:t>，</w:t>
      </w:r>
      <w:r>
        <w:rPr>
          <w:rFonts w:hint="eastAsia" w:eastAsia="仿宋_GB2312"/>
          <w:spacing w:val="0"/>
          <w:kern w:val="0"/>
          <w:sz w:val="32"/>
          <w:szCs w:val="32"/>
          <w:highlight w:val="none"/>
          <w:lang w:val="en-US" w:eastAsia="zh-CN" w:bidi="ar"/>
        </w:rPr>
        <w:t>推荐参与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省“最美科技工作者”宣传选树等活动</w:t>
      </w:r>
      <w:r>
        <w:rPr>
          <w:rFonts w:eastAsia="仿宋_GB2312"/>
          <w:spacing w:val="0"/>
          <w:kern w:val="0"/>
          <w:sz w:val="32"/>
          <w:szCs w:val="32"/>
          <w:highlight w:val="none"/>
          <w:lang w:bidi="ar"/>
        </w:rPr>
        <w:t>。</w:t>
      </w:r>
    </w:p>
    <w:p w14:paraId="019321A4">
      <w:pPr>
        <w:adjustRightInd w:val="0"/>
        <w:spacing w:line="600" w:lineRule="exact"/>
        <w:ind w:firstLine="660"/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黑体" w:cs="Times New Roman"/>
          <w:bCs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bCs/>
          <w:color w:val="000000"/>
          <w:spacing w:val="2"/>
          <w:kern w:val="0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黑体" w:cs="Times New Roman"/>
          <w:bCs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加强服务管理</w:t>
      </w:r>
    </w:p>
    <w:p w14:paraId="77A35410">
      <w:pPr>
        <w:spacing w:line="600" w:lineRule="exact"/>
        <w:ind w:firstLine="648" w:firstLineChars="200"/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</w:rPr>
        <w:t>.强化省市县统筹。</w:t>
      </w:r>
      <w:r>
        <w:rPr>
          <w:rFonts w:hint="default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"/>
        </w:rPr>
        <w:t>构建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"/>
        </w:rPr>
        <w:t>省统筹、市指导、县（市、区）抓落实</w:t>
      </w:r>
      <w:r>
        <w:rPr>
          <w:rFonts w:hint="eastAsia" w:ascii="Times New Roman" w:hAnsi="Times New Roman" w:eastAsia="仿宋_GB2312"/>
          <w:sz w:val="32"/>
        </w:rPr>
        <w:t>”</w:t>
      </w:r>
      <w:r>
        <w:rPr>
          <w:rFonts w:hint="default" w:ascii="Times New Roman" w:hAnsi="Times New Roman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"/>
        </w:rPr>
        <w:t>的三级服务管理体系，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省级加强统筹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，会同各市开展绩效评价并运用好评价结果。市县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落实属地责任，因地制宜出台支持激励政策，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做好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日常联系服务、动态跟踪和需求对接。</w:t>
      </w:r>
    </w:p>
    <w:p w14:paraId="325C8C42">
      <w:pPr>
        <w:spacing w:line="600" w:lineRule="exact"/>
        <w:ind w:firstLine="648" w:firstLineChars="200"/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</w:rPr>
        <w:t>.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压实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</w:rPr>
        <w:t>派出单位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责任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派出单位要细化政策举措、制定专项管理办法，“科技副总”驻企服务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 w:bidi="ar"/>
        </w:rPr>
        <w:t>视同基层工作经历，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推动“科技副总”服务企业实绩、横向课题经费等折抵</w:t>
      </w: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highlight w:val="none"/>
          <w:lang w:val="en-US" w:eastAsia="zh-CN" w:bidi="ar"/>
        </w:rPr>
        <w:t>工作量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。</w:t>
      </w:r>
    </w:p>
    <w:p w14:paraId="54E60A33">
      <w:pPr>
        <w:spacing w:line="600" w:lineRule="exact"/>
        <w:ind w:firstLine="648" w:firstLineChars="200"/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</w:pP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</w:rPr>
        <w:t>.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eastAsia="zh-CN"/>
        </w:rPr>
        <w:t>发挥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</w:rPr>
        <w:t>派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驻企业作用</w:t>
      </w:r>
      <w:r>
        <w:rPr>
          <w:rFonts w:hint="eastAsia" w:ascii="楷体_GB2312" w:hAnsi="楷体_GB2312" w:eastAsia="楷体_GB2312" w:cs="楷体_GB2312"/>
          <w:color w:val="000000"/>
          <w:spacing w:val="2"/>
          <w:kern w:val="0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eastAsia="zh-CN"/>
        </w:rPr>
        <w:t>派驻企业要从岗位授权、资源保障、团队建设等方面为“科技副总”履职创造条件。要与“科技副总”、派出单位签订三方协议，界定合作内容、任务目标、收益分配机制。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配合属地科技部门做好绩效评价工作。</w:t>
      </w:r>
    </w:p>
    <w:p w14:paraId="0C8F45CE">
      <w:pPr>
        <w:spacing w:line="600" w:lineRule="exact"/>
        <w:ind w:firstLine="648" w:firstLineChars="200"/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本举措自2026年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  <w:t>日起施行。现行文件中若有与本举措不一致的，以本举措为准。</w:t>
      </w:r>
    </w:p>
    <w:p w14:paraId="5A088BD1">
      <w:pPr>
        <w:pStyle w:val="2"/>
        <w:rPr>
          <w:rFonts w:hint="default" w:ascii="Times New Roman" w:hAnsi="Times New Roman" w:eastAsia="仿宋_GB2312" w:cs="Times New Roman"/>
          <w:color w:val="000000"/>
          <w:spacing w:val="2"/>
          <w:kern w:val="0"/>
          <w:sz w:val="32"/>
          <w:szCs w:val="32"/>
          <w:highlight w:val="none"/>
        </w:rPr>
      </w:pPr>
    </w:p>
    <w:p w14:paraId="09816C37">
      <w:pPr>
        <w:spacing w:line="600" w:lineRule="exact"/>
        <w:rPr>
          <w:rFonts w:eastAsia="仿宋_GB2312"/>
          <w:sz w:val="32"/>
          <w:szCs w:val="32"/>
        </w:rPr>
      </w:pPr>
    </w:p>
    <w:p w14:paraId="4C55DAF2">
      <w:pPr>
        <w:spacing w:line="600" w:lineRule="exact"/>
        <w:rPr>
          <w:rFonts w:eastAsia="仿宋_GB2312"/>
        </w:rPr>
      </w:pPr>
    </w:p>
    <w:p w14:paraId="46E4B248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0E926C9-18AA-4AA2-8D1A-0C61948A70B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5C9649E-ED2D-4731-850A-E9A6A6B75EAA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A2D81E70-BDFF-4643-8A46-52A2AA8ED999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999C6B5B-51F5-47BE-A176-A9630041FC9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8C55A63D-74F3-47B8-A61E-FB012D4F3C6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E150F6">
    <w:pPr>
      <w:pStyle w:val="3"/>
      <w:jc w:val="right"/>
    </w:pPr>
    <w:r>
      <w:rPr>
        <w:rStyle w:val="6"/>
        <w:rFonts w:hint="eastAsia" w:ascii="宋体"/>
        <w:sz w:val="28"/>
        <w:szCs w:val="28"/>
      </w:rPr>
      <w:t>－</w:t>
    </w:r>
    <w:r>
      <w:rPr>
        <w:rStyle w:val="6"/>
        <w:rFonts w:ascii="宋体"/>
        <w:sz w:val="28"/>
        <w:szCs w:val="28"/>
      </w:rPr>
      <w:t xml:space="preserve"> </w:t>
    </w:r>
    <w:r>
      <w:rPr>
        <w:rStyle w:val="6"/>
        <w:rFonts w:ascii="宋体"/>
        <w:sz w:val="28"/>
        <w:szCs w:val="28"/>
      </w:rPr>
      <w:fldChar w:fldCharType="begin"/>
    </w:r>
    <w:r>
      <w:rPr>
        <w:rStyle w:val="6"/>
        <w:rFonts w:ascii="宋体"/>
        <w:sz w:val="28"/>
        <w:szCs w:val="28"/>
      </w:rPr>
      <w:instrText xml:space="preserve">PAGE  </w:instrText>
    </w:r>
    <w:r>
      <w:rPr>
        <w:rStyle w:val="6"/>
        <w:rFonts w:ascii="宋体"/>
        <w:sz w:val="28"/>
        <w:szCs w:val="28"/>
      </w:rPr>
      <w:fldChar w:fldCharType="separate"/>
    </w:r>
    <w:r>
      <w:rPr>
        <w:rStyle w:val="6"/>
        <w:rFonts w:ascii="宋体"/>
        <w:sz w:val="28"/>
        <w:szCs w:val="28"/>
      </w:rPr>
      <w:t>1</w:t>
    </w:r>
    <w:r>
      <w:rPr>
        <w:rStyle w:val="6"/>
        <w:rFonts w:ascii="宋体"/>
        <w:sz w:val="28"/>
        <w:szCs w:val="28"/>
      </w:rPr>
      <w:fldChar w:fldCharType="end"/>
    </w:r>
    <w:r>
      <w:rPr>
        <w:rStyle w:val="6"/>
        <w:rFonts w:ascii="宋体"/>
        <w:sz w:val="28"/>
        <w:szCs w:val="28"/>
      </w:rPr>
      <w:t xml:space="preserve"> </w:t>
    </w:r>
    <w:r>
      <w:rPr>
        <w:rStyle w:val="6"/>
        <w:rFonts w:hint="eastAsia" w:ascii="宋体"/>
        <w:sz w:val="28"/>
        <w:szCs w:val="28"/>
      </w:rPr>
      <w:t>－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F5F3E8">
    <w:pPr>
      <w:pStyle w:val="3"/>
    </w:pPr>
    <w:r>
      <w:rPr>
        <w:rStyle w:val="6"/>
        <w:rFonts w:hint="eastAsia" w:ascii="宋体"/>
        <w:sz w:val="28"/>
        <w:szCs w:val="28"/>
      </w:rPr>
      <w:t>－</w:t>
    </w:r>
    <w:r>
      <w:rPr>
        <w:rStyle w:val="6"/>
        <w:rFonts w:ascii="宋体"/>
        <w:sz w:val="28"/>
        <w:szCs w:val="28"/>
      </w:rPr>
      <w:t xml:space="preserve"> </w:t>
    </w:r>
    <w:r>
      <w:rPr>
        <w:rStyle w:val="6"/>
        <w:rFonts w:ascii="宋体"/>
        <w:sz w:val="28"/>
        <w:szCs w:val="28"/>
      </w:rPr>
      <w:fldChar w:fldCharType="begin"/>
    </w:r>
    <w:r>
      <w:rPr>
        <w:rStyle w:val="6"/>
        <w:rFonts w:ascii="宋体"/>
        <w:sz w:val="28"/>
        <w:szCs w:val="28"/>
      </w:rPr>
      <w:instrText xml:space="preserve">PAGE  </w:instrText>
    </w:r>
    <w:r>
      <w:rPr>
        <w:rStyle w:val="6"/>
        <w:rFonts w:ascii="宋体"/>
        <w:sz w:val="28"/>
        <w:szCs w:val="28"/>
      </w:rPr>
      <w:fldChar w:fldCharType="separate"/>
    </w:r>
    <w:r>
      <w:rPr>
        <w:rStyle w:val="6"/>
        <w:rFonts w:ascii="宋体"/>
        <w:sz w:val="28"/>
        <w:szCs w:val="28"/>
      </w:rPr>
      <w:t>2</w:t>
    </w:r>
    <w:r>
      <w:rPr>
        <w:rStyle w:val="6"/>
        <w:rFonts w:ascii="宋体"/>
        <w:sz w:val="28"/>
        <w:szCs w:val="28"/>
      </w:rPr>
      <w:fldChar w:fldCharType="end"/>
    </w:r>
    <w:r>
      <w:rPr>
        <w:rStyle w:val="6"/>
        <w:rFonts w:ascii="宋体"/>
        <w:sz w:val="28"/>
        <w:szCs w:val="28"/>
      </w:rPr>
      <w:t xml:space="preserve"> </w:t>
    </w:r>
    <w:r>
      <w:rPr>
        <w:rStyle w:val="6"/>
        <w:rFonts w:hint="eastAsia" w:ascii="宋体"/>
        <w:sz w:val="28"/>
        <w:szCs w:val="28"/>
      </w:rPr>
      <w:t>－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261796"/>
    <w:rsid w:val="5626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2026-11-03T01:42:00Z</dcterms:created>
  <dc:creator>rcs</dc:creator>
  <cp:lastModifiedBy>rcs</cp:lastModifiedBy>
  <dcterms:modified xsi:type="dcterms:W3CDTF">2026-11-03T01:43:44Z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85D2795667AB4FE19D54443A29997EBC_11</vt:lpwstr>
  </property>
  <property fmtid="{D5CDD505-2E9C-101B-9397-08002B2CF9AE}" pid="4" name="KSOTemplateDocerSaveRecord">
    <vt:lpwstr>eyJoZGlkIjoiYTAzMWYwODk5ZjZkNjRjMzliNTlmOTk3YzY0NmY0OWQiLCJ1c2VySWQiOiIyMzM2MTEzMDAifQ==</vt:lpwstr>
  </property>
</Properties>
</file>